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D6F1" w14:textId="77777777" w:rsidR="006136F3" w:rsidRPr="004B3296" w:rsidRDefault="006136F3" w:rsidP="006136F3">
      <w:pPr>
        <w:jc w:val="center"/>
        <w:rPr>
          <w:rFonts w:ascii="Arial" w:hAnsi="Arial" w:cs="Arial"/>
          <w:b/>
          <w:bCs/>
          <w:sz w:val="28"/>
          <w:szCs w:val="28"/>
        </w:rPr>
      </w:pPr>
      <w:r w:rsidRPr="004B3296">
        <w:rPr>
          <w:rFonts w:ascii="Arial" w:hAnsi="Arial" w:cs="Arial"/>
          <w:b/>
          <w:bCs/>
          <w:sz w:val="28"/>
          <w:szCs w:val="28"/>
        </w:rPr>
        <w:t>ADDITIONAL REQUIREMENTS RELATED TO TRADING OF SINGLE STOCK FUTURES (SSF)</w:t>
      </w:r>
    </w:p>
    <w:p w14:paraId="3FAFD084" w14:textId="77777777" w:rsidR="006136F3" w:rsidRPr="00AC4FC8" w:rsidRDefault="006136F3" w:rsidP="006136F3">
      <w:pPr>
        <w:jc w:val="both"/>
        <w:rPr>
          <w:rFonts w:ascii="Arial" w:hAnsi="Arial" w:cs="Arial"/>
          <w:b/>
          <w:bCs/>
          <w:u w:val="single"/>
        </w:rPr>
      </w:pPr>
    </w:p>
    <w:p w14:paraId="56DF202F" w14:textId="43D31086" w:rsidR="006136F3" w:rsidRPr="006136F3" w:rsidRDefault="006136F3" w:rsidP="006136F3">
      <w:pPr>
        <w:jc w:val="both"/>
        <w:rPr>
          <w:rFonts w:ascii="Arial" w:hAnsi="Arial" w:cs="Arial"/>
          <w:sz w:val="20"/>
          <w:szCs w:val="20"/>
        </w:rPr>
      </w:pPr>
      <w:r w:rsidRPr="006136F3">
        <w:rPr>
          <w:rFonts w:ascii="Arial" w:hAnsi="Arial" w:cs="Arial"/>
          <w:sz w:val="20"/>
          <w:szCs w:val="20"/>
        </w:rPr>
        <w:t xml:space="preserve">This document contains additional requirements that must be disclosed, read, and understood by the Client wishing to engage in the trading of Single Stock Futures (SSF) on DGCX.  Clients are required to sign and acknowledge this statement prior to </w:t>
      </w:r>
      <w:r>
        <w:rPr>
          <w:rFonts w:ascii="Arial" w:hAnsi="Arial" w:cs="Arial"/>
          <w:sz w:val="20"/>
          <w:szCs w:val="20"/>
        </w:rPr>
        <w:t xml:space="preserve">the </w:t>
      </w:r>
      <w:r w:rsidRPr="006136F3">
        <w:rPr>
          <w:rFonts w:ascii="Arial" w:hAnsi="Arial" w:cs="Arial"/>
          <w:sz w:val="20"/>
          <w:szCs w:val="20"/>
        </w:rPr>
        <w:t>commencement of trading SSF Contracts on DGCX.</w:t>
      </w:r>
    </w:p>
    <w:p w14:paraId="48E288CF" w14:textId="77777777" w:rsidR="006136F3" w:rsidRPr="006136F3" w:rsidRDefault="006136F3" w:rsidP="006136F3">
      <w:pPr>
        <w:jc w:val="both"/>
        <w:rPr>
          <w:rFonts w:ascii="Arial" w:hAnsi="Arial" w:cs="Arial"/>
          <w:iCs/>
          <w:sz w:val="20"/>
          <w:szCs w:val="20"/>
        </w:rPr>
      </w:pPr>
    </w:p>
    <w:p w14:paraId="6EB32CEA" w14:textId="0596D098" w:rsidR="006136F3" w:rsidRPr="006136F3" w:rsidRDefault="006136F3" w:rsidP="006136F3">
      <w:pPr>
        <w:jc w:val="both"/>
        <w:rPr>
          <w:rFonts w:ascii="Arial" w:hAnsi="Arial" w:cs="Arial"/>
          <w:iCs/>
          <w:sz w:val="20"/>
          <w:szCs w:val="20"/>
        </w:rPr>
      </w:pPr>
      <w:r w:rsidRPr="006136F3">
        <w:rPr>
          <w:rFonts w:ascii="Arial" w:hAnsi="Arial" w:cs="Arial"/>
          <w:iCs/>
          <w:sz w:val="20"/>
          <w:szCs w:val="20"/>
        </w:rPr>
        <w:t>The Client understands fully the risks associated with trading derivatives on such underlying equities:</w:t>
      </w:r>
    </w:p>
    <w:p w14:paraId="6ACEEEB6" w14:textId="77777777" w:rsidR="006136F3" w:rsidRPr="006136F3" w:rsidRDefault="006136F3" w:rsidP="006136F3">
      <w:pPr>
        <w:pStyle w:val="ListParagraph"/>
        <w:widowControl/>
        <w:numPr>
          <w:ilvl w:val="0"/>
          <w:numId w:val="6"/>
        </w:numPr>
        <w:autoSpaceDE/>
        <w:autoSpaceDN/>
        <w:spacing w:before="34"/>
        <w:ind w:left="360" w:right="67" w:hanging="180"/>
        <w:contextualSpacing/>
        <w:jc w:val="both"/>
        <w:rPr>
          <w:rFonts w:ascii="Arial" w:hAnsi="Arial" w:cs="Arial"/>
          <w:sz w:val="20"/>
          <w:szCs w:val="20"/>
        </w:rPr>
      </w:pPr>
      <w:r w:rsidRPr="006136F3">
        <w:rPr>
          <w:rFonts w:ascii="Arial" w:hAnsi="Arial" w:cs="Arial"/>
          <w:sz w:val="20"/>
          <w:szCs w:val="20"/>
        </w:rPr>
        <w:t>DGCX does not list or trade cash equities as primary exchange. The underlying equity to the Single Stock Futures will be listed in the underlying country which could potentially lead to additional risk elements which should be carefully considered before engaging in trading the SSF contracts.</w:t>
      </w:r>
    </w:p>
    <w:p w14:paraId="1FA8B6ED" w14:textId="77777777" w:rsidR="006136F3" w:rsidRPr="006136F3" w:rsidRDefault="006136F3" w:rsidP="006136F3">
      <w:pPr>
        <w:pStyle w:val="ListParagraph"/>
        <w:spacing w:before="34"/>
        <w:ind w:left="360" w:right="67"/>
        <w:jc w:val="both"/>
        <w:rPr>
          <w:rFonts w:ascii="Arial" w:hAnsi="Arial" w:cs="Arial"/>
          <w:sz w:val="20"/>
          <w:szCs w:val="20"/>
        </w:rPr>
      </w:pPr>
    </w:p>
    <w:p w14:paraId="267E70D9" w14:textId="77777777" w:rsidR="006136F3" w:rsidRPr="006136F3" w:rsidRDefault="006136F3" w:rsidP="006136F3">
      <w:pPr>
        <w:pStyle w:val="ListParagraph"/>
        <w:widowControl/>
        <w:numPr>
          <w:ilvl w:val="0"/>
          <w:numId w:val="6"/>
        </w:numPr>
        <w:autoSpaceDE/>
        <w:autoSpaceDN/>
        <w:spacing w:before="34"/>
        <w:ind w:left="360" w:right="67" w:hanging="180"/>
        <w:contextualSpacing/>
        <w:jc w:val="both"/>
        <w:rPr>
          <w:rFonts w:ascii="Arial" w:hAnsi="Arial" w:cs="Arial"/>
          <w:sz w:val="20"/>
          <w:szCs w:val="20"/>
        </w:rPr>
      </w:pPr>
      <w:r w:rsidRPr="006136F3">
        <w:rPr>
          <w:rFonts w:ascii="Arial" w:hAnsi="Arial" w:cs="Arial"/>
          <w:sz w:val="20"/>
          <w:szCs w:val="20"/>
        </w:rPr>
        <w:t>Client is aware of the risks associated with delays in disclosure information wherein under certain market conditions; the prices of SSF Contracts on DGCX may not maintain their expected relationships to its underlying security prices. These pricing disparities could occur due to a variety of reasons and have an impact of both positions and active orders in SSF Contracts. These conditions include but are not limited to:</w:t>
      </w:r>
    </w:p>
    <w:p w14:paraId="5BBC0B00" w14:textId="77777777" w:rsidR="006136F3" w:rsidRPr="006136F3" w:rsidRDefault="006136F3" w:rsidP="006136F3">
      <w:pPr>
        <w:pStyle w:val="ListParagraph"/>
        <w:widowControl/>
        <w:numPr>
          <w:ilvl w:val="1"/>
          <w:numId w:val="6"/>
        </w:numPr>
        <w:autoSpaceDE/>
        <w:autoSpaceDN/>
        <w:spacing w:before="34" w:after="200" w:line="276" w:lineRule="auto"/>
        <w:ind w:left="1080" w:right="67"/>
        <w:contextualSpacing/>
        <w:jc w:val="both"/>
        <w:rPr>
          <w:rFonts w:ascii="Arial" w:hAnsi="Arial" w:cs="Arial"/>
          <w:sz w:val="20"/>
          <w:szCs w:val="20"/>
        </w:rPr>
      </w:pPr>
      <w:r w:rsidRPr="006136F3">
        <w:rPr>
          <w:rFonts w:ascii="Arial" w:hAnsi="Arial" w:cs="Arial"/>
          <w:sz w:val="20"/>
          <w:szCs w:val="20"/>
        </w:rPr>
        <w:t xml:space="preserve">delay in the information availability about the corporate action announcement or associated price-sensitive news in the underlying security,  </w:t>
      </w:r>
    </w:p>
    <w:p w14:paraId="57FED47E" w14:textId="77777777" w:rsidR="006136F3" w:rsidRPr="006136F3" w:rsidRDefault="006136F3" w:rsidP="006136F3">
      <w:pPr>
        <w:pStyle w:val="ListParagraph"/>
        <w:widowControl/>
        <w:numPr>
          <w:ilvl w:val="1"/>
          <w:numId w:val="6"/>
        </w:numPr>
        <w:autoSpaceDE/>
        <w:autoSpaceDN/>
        <w:spacing w:before="34"/>
        <w:ind w:left="1080" w:right="67"/>
        <w:contextualSpacing/>
        <w:jc w:val="both"/>
        <w:rPr>
          <w:rFonts w:ascii="Arial" w:hAnsi="Arial" w:cs="Arial"/>
          <w:sz w:val="20"/>
          <w:szCs w:val="20"/>
        </w:rPr>
      </w:pPr>
      <w:r w:rsidRPr="006136F3">
        <w:rPr>
          <w:rFonts w:ascii="Arial" w:hAnsi="Arial" w:cs="Arial"/>
          <w:sz w:val="20"/>
          <w:szCs w:val="20"/>
        </w:rPr>
        <w:t xml:space="preserve">the primary market for the underlying securities is closed or halted, </w:t>
      </w:r>
    </w:p>
    <w:p w14:paraId="662AC947" w14:textId="77777777" w:rsidR="006136F3" w:rsidRDefault="006136F3" w:rsidP="006136F3">
      <w:pPr>
        <w:pStyle w:val="ListParagraph"/>
        <w:widowControl/>
        <w:numPr>
          <w:ilvl w:val="1"/>
          <w:numId w:val="6"/>
        </w:numPr>
        <w:autoSpaceDE/>
        <w:autoSpaceDN/>
        <w:spacing w:before="34"/>
        <w:ind w:left="1080" w:right="67"/>
        <w:contextualSpacing/>
        <w:jc w:val="both"/>
        <w:rPr>
          <w:rFonts w:ascii="Arial" w:hAnsi="Arial" w:cs="Arial"/>
          <w:sz w:val="20"/>
          <w:szCs w:val="20"/>
        </w:rPr>
      </w:pPr>
      <w:r w:rsidRPr="006136F3">
        <w:rPr>
          <w:rFonts w:ascii="Arial" w:hAnsi="Arial" w:cs="Arial"/>
          <w:sz w:val="20"/>
          <w:szCs w:val="20"/>
        </w:rPr>
        <w:t>the primary market for a given Single Stock Futures contract or underlying securities is illiquid.</w:t>
      </w:r>
    </w:p>
    <w:p w14:paraId="4C1610FE" w14:textId="77777777" w:rsidR="006136F3" w:rsidRPr="006136F3" w:rsidRDefault="006136F3" w:rsidP="006136F3">
      <w:pPr>
        <w:pStyle w:val="ListParagraph"/>
        <w:widowControl/>
        <w:autoSpaceDE/>
        <w:autoSpaceDN/>
        <w:spacing w:before="34"/>
        <w:ind w:left="1080" w:right="67"/>
        <w:contextualSpacing/>
        <w:jc w:val="both"/>
        <w:rPr>
          <w:rFonts w:ascii="Arial" w:hAnsi="Arial" w:cs="Arial"/>
          <w:sz w:val="20"/>
          <w:szCs w:val="20"/>
        </w:rPr>
      </w:pPr>
    </w:p>
    <w:p w14:paraId="357A440A" w14:textId="77777777" w:rsidR="006136F3" w:rsidRPr="006136F3" w:rsidRDefault="006136F3" w:rsidP="006136F3">
      <w:pPr>
        <w:spacing w:before="34"/>
        <w:ind w:right="67"/>
        <w:jc w:val="both"/>
        <w:rPr>
          <w:rFonts w:ascii="Arial" w:hAnsi="Arial" w:cs="Arial"/>
          <w:sz w:val="20"/>
          <w:szCs w:val="20"/>
        </w:rPr>
      </w:pPr>
      <w:r w:rsidRPr="006136F3">
        <w:rPr>
          <w:rFonts w:ascii="Arial" w:hAnsi="Arial" w:cs="Arial"/>
          <w:sz w:val="20"/>
          <w:szCs w:val="20"/>
        </w:rPr>
        <w:t xml:space="preserve">The Client is advised of the following regulatory requirements, which must be met </w:t>
      </w:r>
      <w:proofErr w:type="gramStart"/>
      <w:r w:rsidRPr="006136F3">
        <w:rPr>
          <w:rFonts w:ascii="Arial" w:hAnsi="Arial" w:cs="Arial"/>
          <w:sz w:val="20"/>
          <w:szCs w:val="20"/>
        </w:rPr>
        <w:t>in order to</w:t>
      </w:r>
      <w:proofErr w:type="gramEnd"/>
      <w:r w:rsidRPr="006136F3">
        <w:rPr>
          <w:rFonts w:ascii="Arial" w:hAnsi="Arial" w:cs="Arial"/>
          <w:sz w:val="20"/>
          <w:szCs w:val="20"/>
        </w:rPr>
        <w:t xml:space="preserve"> engage in trading of SSF on DGCX, and as mandated by the Securities and Commodities Authority (SCA): </w:t>
      </w:r>
    </w:p>
    <w:p w14:paraId="2E910BD3" w14:textId="77777777" w:rsidR="006136F3" w:rsidRPr="006136F3" w:rsidRDefault="006136F3" w:rsidP="006136F3">
      <w:pPr>
        <w:pStyle w:val="ListParagraph"/>
        <w:widowControl/>
        <w:numPr>
          <w:ilvl w:val="0"/>
          <w:numId w:val="5"/>
        </w:numPr>
        <w:autoSpaceDE/>
        <w:autoSpaceDN/>
        <w:spacing w:before="34" w:after="200" w:line="276" w:lineRule="auto"/>
        <w:ind w:right="67"/>
        <w:contextualSpacing/>
        <w:jc w:val="both"/>
        <w:rPr>
          <w:rFonts w:ascii="Arial" w:hAnsi="Arial" w:cs="Arial"/>
          <w:sz w:val="20"/>
          <w:szCs w:val="20"/>
        </w:rPr>
      </w:pPr>
      <w:r w:rsidRPr="006136F3">
        <w:rPr>
          <w:rFonts w:ascii="Arial" w:hAnsi="Arial" w:cs="Arial"/>
          <w:sz w:val="20"/>
          <w:szCs w:val="20"/>
        </w:rPr>
        <w:t xml:space="preserve">Client must have cash or investments in financial assets of a minimum value of AED 100,000. </w:t>
      </w:r>
    </w:p>
    <w:p w14:paraId="0D7F6F7A" w14:textId="77777777" w:rsidR="006136F3" w:rsidRPr="006136F3" w:rsidRDefault="006136F3" w:rsidP="006136F3">
      <w:pPr>
        <w:pStyle w:val="ListParagraph"/>
        <w:widowControl/>
        <w:numPr>
          <w:ilvl w:val="0"/>
          <w:numId w:val="5"/>
        </w:numPr>
        <w:autoSpaceDE/>
        <w:autoSpaceDN/>
        <w:spacing w:before="34" w:after="200" w:line="276" w:lineRule="auto"/>
        <w:ind w:right="67"/>
        <w:contextualSpacing/>
        <w:jc w:val="both"/>
        <w:rPr>
          <w:rFonts w:ascii="Arial" w:hAnsi="Arial" w:cs="Arial"/>
          <w:sz w:val="20"/>
          <w:szCs w:val="20"/>
        </w:rPr>
      </w:pPr>
      <w:r w:rsidRPr="006136F3">
        <w:rPr>
          <w:rFonts w:ascii="Arial" w:hAnsi="Arial" w:cs="Arial"/>
          <w:sz w:val="20"/>
          <w:szCs w:val="20"/>
        </w:rPr>
        <w:t xml:space="preserve">Client must have experience of at least two (2) years of trading in a market where stock futures are listed and traded. </w:t>
      </w:r>
    </w:p>
    <w:p w14:paraId="6CE45C48" w14:textId="355E3FE5" w:rsidR="006136F3" w:rsidRDefault="006136F3" w:rsidP="006136F3">
      <w:pPr>
        <w:jc w:val="both"/>
        <w:rPr>
          <w:rFonts w:ascii="Arial" w:hAnsi="Arial" w:cs="Arial"/>
          <w:sz w:val="20"/>
          <w:szCs w:val="20"/>
        </w:rPr>
      </w:pPr>
      <w:r w:rsidRPr="006136F3">
        <w:rPr>
          <w:rFonts w:ascii="Arial" w:hAnsi="Arial" w:cs="Arial"/>
          <w:sz w:val="20"/>
          <w:szCs w:val="20"/>
        </w:rPr>
        <w:t xml:space="preserve">The Client confirms and acknowledges that it has read the above additional requirements and understands its responsibility in disclosing said </w:t>
      </w:r>
      <w:r w:rsidR="006F3BB1" w:rsidRPr="006136F3">
        <w:rPr>
          <w:rFonts w:ascii="Arial" w:hAnsi="Arial" w:cs="Arial"/>
          <w:sz w:val="20"/>
          <w:szCs w:val="20"/>
        </w:rPr>
        <w:t>information and</w:t>
      </w:r>
      <w:r w:rsidRPr="006136F3">
        <w:rPr>
          <w:rFonts w:ascii="Arial" w:hAnsi="Arial" w:cs="Arial"/>
          <w:sz w:val="20"/>
          <w:szCs w:val="20"/>
        </w:rPr>
        <w:t xml:space="preserve"> agrees to assume the risks that are associated with trading in Single Stock Futures on DGCX.</w:t>
      </w:r>
    </w:p>
    <w:p w14:paraId="4A52BD6A" w14:textId="77777777" w:rsidR="006136F3" w:rsidRPr="006136F3" w:rsidRDefault="006136F3" w:rsidP="006136F3">
      <w:pPr>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2307"/>
        <w:gridCol w:w="3356"/>
        <w:gridCol w:w="1181"/>
        <w:gridCol w:w="2252"/>
      </w:tblGrid>
      <w:tr w:rsidR="006136F3" w:rsidRPr="006136F3" w14:paraId="1FBE636E" w14:textId="77777777" w:rsidTr="006136F3">
        <w:tc>
          <w:tcPr>
            <w:tcW w:w="2389" w:type="dxa"/>
            <w:tcMar>
              <w:top w:w="0" w:type="dxa"/>
              <w:left w:w="108" w:type="dxa"/>
              <w:bottom w:w="0" w:type="dxa"/>
              <w:right w:w="108" w:type="dxa"/>
            </w:tcMar>
            <w:vAlign w:val="bottom"/>
            <w:hideMark/>
          </w:tcPr>
          <w:p w14:paraId="0FB52281" w14:textId="29FE3DD9" w:rsidR="006136F3" w:rsidRPr="006136F3" w:rsidRDefault="006136F3" w:rsidP="0078493A">
            <w:pPr>
              <w:spacing w:before="240" w:after="200" w:line="276" w:lineRule="auto"/>
              <w:jc w:val="both"/>
              <w:rPr>
                <w:rFonts w:ascii="Arial" w:hAnsi="Arial" w:cs="Arial"/>
                <w:b/>
                <w:bCs/>
                <w:sz w:val="18"/>
                <w:szCs w:val="18"/>
              </w:rPr>
            </w:pPr>
            <w:r w:rsidRPr="006136F3">
              <w:rPr>
                <w:rFonts w:ascii="Arial" w:hAnsi="Arial" w:cs="Arial"/>
                <w:b/>
                <w:bCs/>
                <w:sz w:val="18"/>
                <w:szCs w:val="18"/>
              </w:rPr>
              <w:t>Signature:</w:t>
            </w:r>
          </w:p>
        </w:tc>
        <w:tc>
          <w:tcPr>
            <w:tcW w:w="3569" w:type="dxa"/>
            <w:tcMar>
              <w:top w:w="0" w:type="dxa"/>
              <w:left w:w="108" w:type="dxa"/>
              <w:bottom w:w="0" w:type="dxa"/>
              <w:right w:w="108" w:type="dxa"/>
            </w:tcMar>
            <w:vAlign w:val="bottom"/>
          </w:tcPr>
          <w:p w14:paraId="32F97B84" w14:textId="77777777" w:rsidR="006136F3" w:rsidRPr="006136F3" w:rsidRDefault="006136F3" w:rsidP="0078493A">
            <w:pPr>
              <w:spacing w:before="240" w:after="200" w:line="276" w:lineRule="auto"/>
              <w:jc w:val="both"/>
              <w:rPr>
                <w:rFonts w:ascii="Arial" w:hAnsi="Arial" w:cs="Arial"/>
                <w:b/>
                <w:bCs/>
                <w:sz w:val="18"/>
                <w:szCs w:val="18"/>
              </w:rPr>
            </w:pPr>
          </w:p>
        </w:tc>
        <w:tc>
          <w:tcPr>
            <w:tcW w:w="1210" w:type="dxa"/>
            <w:tcMar>
              <w:top w:w="0" w:type="dxa"/>
              <w:left w:w="108" w:type="dxa"/>
              <w:bottom w:w="0" w:type="dxa"/>
              <w:right w:w="108" w:type="dxa"/>
            </w:tcMar>
            <w:vAlign w:val="bottom"/>
            <w:hideMark/>
          </w:tcPr>
          <w:p w14:paraId="280449D3" w14:textId="77777777" w:rsidR="006136F3" w:rsidRPr="006136F3" w:rsidRDefault="006136F3" w:rsidP="0078493A">
            <w:pPr>
              <w:spacing w:before="240" w:after="200" w:line="276" w:lineRule="auto"/>
              <w:jc w:val="both"/>
              <w:rPr>
                <w:rFonts w:ascii="Arial" w:hAnsi="Arial" w:cs="Arial"/>
                <w:b/>
                <w:bCs/>
                <w:sz w:val="18"/>
                <w:szCs w:val="18"/>
              </w:rPr>
            </w:pPr>
            <w:r w:rsidRPr="006136F3">
              <w:rPr>
                <w:rFonts w:ascii="Arial" w:hAnsi="Arial" w:cs="Arial"/>
                <w:b/>
                <w:bCs/>
                <w:sz w:val="18"/>
                <w:szCs w:val="18"/>
              </w:rPr>
              <w:t>Date:</w:t>
            </w:r>
          </w:p>
        </w:tc>
        <w:tc>
          <w:tcPr>
            <w:tcW w:w="2390" w:type="dxa"/>
            <w:tcMar>
              <w:top w:w="0" w:type="dxa"/>
              <w:left w:w="108" w:type="dxa"/>
              <w:bottom w:w="0" w:type="dxa"/>
              <w:right w:w="108" w:type="dxa"/>
            </w:tcMar>
            <w:vAlign w:val="bottom"/>
          </w:tcPr>
          <w:p w14:paraId="4790F972" w14:textId="77777777" w:rsidR="006136F3" w:rsidRPr="006136F3" w:rsidRDefault="006136F3" w:rsidP="0078493A">
            <w:pPr>
              <w:spacing w:before="240" w:after="200" w:line="276" w:lineRule="auto"/>
              <w:jc w:val="both"/>
              <w:rPr>
                <w:rFonts w:ascii="Arial" w:hAnsi="Arial" w:cs="Arial"/>
                <w:b/>
                <w:bCs/>
                <w:sz w:val="18"/>
                <w:szCs w:val="18"/>
              </w:rPr>
            </w:pPr>
          </w:p>
        </w:tc>
      </w:tr>
      <w:tr w:rsidR="006136F3" w:rsidRPr="006136F3" w14:paraId="1B07A136" w14:textId="77777777" w:rsidTr="006136F3">
        <w:tc>
          <w:tcPr>
            <w:tcW w:w="2389" w:type="dxa"/>
            <w:tcMar>
              <w:top w:w="0" w:type="dxa"/>
              <w:left w:w="108" w:type="dxa"/>
              <w:bottom w:w="0" w:type="dxa"/>
              <w:right w:w="108" w:type="dxa"/>
            </w:tcMar>
            <w:vAlign w:val="bottom"/>
            <w:hideMark/>
          </w:tcPr>
          <w:p w14:paraId="65F944B5" w14:textId="77777777" w:rsidR="006136F3" w:rsidRPr="006136F3" w:rsidRDefault="006136F3" w:rsidP="0078493A">
            <w:pPr>
              <w:spacing w:before="240" w:after="200" w:line="276" w:lineRule="auto"/>
              <w:jc w:val="both"/>
              <w:rPr>
                <w:rFonts w:ascii="Arial" w:hAnsi="Arial" w:cs="Arial"/>
                <w:b/>
                <w:bCs/>
                <w:sz w:val="18"/>
                <w:szCs w:val="18"/>
              </w:rPr>
            </w:pPr>
            <w:r w:rsidRPr="006136F3">
              <w:rPr>
                <w:rFonts w:ascii="Arial" w:hAnsi="Arial" w:cs="Arial"/>
                <w:b/>
                <w:bCs/>
                <w:sz w:val="18"/>
                <w:szCs w:val="18"/>
              </w:rPr>
              <w:t xml:space="preserve">Client Name : </w:t>
            </w:r>
          </w:p>
        </w:tc>
        <w:tc>
          <w:tcPr>
            <w:tcW w:w="3569" w:type="dxa"/>
            <w:tcMar>
              <w:top w:w="0" w:type="dxa"/>
              <w:left w:w="108" w:type="dxa"/>
              <w:bottom w:w="0" w:type="dxa"/>
              <w:right w:w="108" w:type="dxa"/>
            </w:tcMar>
            <w:vAlign w:val="bottom"/>
          </w:tcPr>
          <w:p w14:paraId="26CDB41D" w14:textId="77777777" w:rsidR="006136F3" w:rsidRPr="006136F3" w:rsidRDefault="006136F3" w:rsidP="0078493A">
            <w:pPr>
              <w:spacing w:before="240" w:after="200" w:line="276" w:lineRule="auto"/>
              <w:jc w:val="both"/>
              <w:rPr>
                <w:rFonts w:ascii="Arial" w:hAnsi="Arial" w:cs="Arial"/>
                <w:b/>
                <w:bCs/>
                <w:sz w:val="18"/>
                <w:szCs w:val="18"/>
              </w:rPr>
            </w:pPr>
          </w:p>
        </w:tc>
        <w:tc>
          <w:tcPr>
            <w:tcW w:w="1210" w:type="dxa"/>
            <w:tcMar>
              <w:top w:w="0" w:type="dxa"/>
              <w:left w:w="108" w:type="dxa"/>
              <w:bottom w:w="0" w:type="dxa"/>
              <w:right w:w="108" w:type="dxa"/>
            </w:tcMar>
            <w:vAlign w:val="bottom"/>
            <w:hideMark/>
          </w:tcPr>
          <w:p w14:paraId="3C8386A4" w14:textId="77777777" w:rsidR="006136F3" w:rsidRPr="006136F3" w:rsidRDefault="006136F3" w:rsidP="0078493A">
            <w:pPr>
              <w:spacing w:before="240" w:after="200" w:line="276" w:lineRule="auto"/>
              <w:jc w:val="both"/>
              <w:rPr>
                <w:rFonts w:ascii="Arial" w:hAnsi="Arial" w:cs="Arial"/>
                <w:b/>
                <w:bCs/>
                <w:sz w:val="18"/>
                <w:szCs w:val="18"/>
              </w:rPr>
            </w:pPr>
            <w:r w:rsidRPr="006136F3">
              <w:rPr>
                <w:rFonts w:ascii="Arial" w:hAnsi="Arial" w:cs="Arial"/>
                <w:b/>
                <w:bCs/>
                <w:sz w:val="18"/>
                <w:szCs w:val="18"/>
              </w:rPr>
              <w:t>Place:</w:t>
            </w:r>
          </w:p>
        </w:tc>
        <w:tc>
          <w:tcPr>
            <w:tcW w:w="2390" w:type="dxa"/>
            <w:tcMar>
              <w:top w:w="0" w:type="dxa"/>
              <w:left w:w="108" w:type="dxa"/>
              <w:bottom w:w="0" w:type="dxa"/>
              <w:right w:w="108" w:type="dxa"/>
            </w:tcMar>
            <w:vAlign w:val="bottom"/>
          </w:tcPr>
          <w:p w14:paraId="1CD10DB5" w14:textId="77777777" w:rsidR="006136F3" w:rsidRPr="006136F3" w:rsidRDefault="006136F3" w:rsidP="0078493A">
            <w:pPr>
              <w:spacing w:before="240" w:after="200" w:line="276" w:lineRule="auto"/>
              <w:jc w:val="both"/>
              <w:rPr>
                <w:rFonts w:ascii="Arial" w:hAnsi="Arial" w:cs="Arial"/>
                <w:b/>
                <w:bCs/>
                <w:sz w:val="18"/>
                <w:szCs w:val="18"/>
              </w:rPr>
            </w:pPr>
          </w:p>
        </w:tc>
      </w:tr>
    </w:tbl>
    <w:p w14:paraId="36F9C987" w14:textId="77777777" w:rsidR="006136F3" w:rsidRPr="006136F3" w:rsidRDefault="006136F3" w:rsidP="006136F3">
      <w:pPr>
        <w:jc w:val="both"/>
        <w:rPr>
          <w:rFonts w:ascii="Arial" w:hAnsi="Arial" w:cs="Arial"/>
          <w:sz w:val="20"/>
          <w:szCs w:val="20"/>
          <w:u w:val="single"/>
        </w:rPr>
      </w:pPr>
    </w:p>
    <w:p w14:paraId="27B51730" w14:textId="77777777" w:rsidR="006136F3" w:rsidRPr="006136F3" w:rsidRDefault="006136F3" w:rsidP="006136F3">
      <w:pPr>
        <w:jc w:val="both"/>
        <w:rPr>
          <w:rFonts w:ascii="Arial" w:hAnsi="Arial" w:cs="Arial"/>
          <w:sz w:val="20"/>
          <w:szCs w:val="20"/>
          <w:u w:val="single"/>
        </w:rPr>
      </w:pPr>
      <w:r w:rsidRPr="006136F3">
        <w:rPr>
          <w:rFonts w:ascii="Arial" w:hAnsi="Arial" w:cs="Arial"/>
          <w:sz w:val="20"/>
          <w:szCs w:val="20"/>
          <w:u w:val="single"/>
        </w:rPr>
        <w:t>FOR INTERNAL OFFICE USE ONLY</w:t>
      </w:r>
    </w:p>
    <w:p w14:paraId="6947496D" w14:textId="77777777" w:rsidR="006136F3" w:rsidRDefault="006136F3" w:rsidP="006136F3">
      <w:pPr>
        <w:jc w:val="both"/>
        <w:rPr>
          <w:rFonts w:ascii="Arial" w:hAnsi="Arial" w:cs="Arial"/>
          <w:sz w:val="20"/>
          <w:szCs w:val="20"/>
        </w:rPr>
      </w:pPr>
      <w:r w:rsidRPr="006136F3">
        <w:rPr>
          <w:rFonts w:ascii="Arial" w:hAnsi="Arial" w:cs="Arial"/>
          <w:sz w:val="20"/>
          <w:szCs w:val="20"/>
        </w:rPr>
        <w:t>Verified By Company CODO:</w:t>
      </w:r>
    </w:p>
    <w:p w14:paraId="77AF565C" w14:textId="77777777" w:rsidR="006136F3" w:rsidRPr="006136F3" w:rsidRDefault="006136F3" w:rsidP="006136F3">
      <w:pPr>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2296"/>
        <w:gridCol w:w="2244"/>
        <w:gridCol w:w="2312"/>
        <w:gridCol w:w="2244"/>
      </w:tblGrid>
      <w:tr w:rsidR="006136F3" w:rsidRPr="006136F3" w14:paraId="6D0929C1" w14:textId="77777777" w:rsidTr="006136F3">
        <w:tc>
          <w:tcPr>
            <w:tcW w:w="2394" w:type="dxa"/>
            <w:tcMar>
              <w:top w:w="0" w:type="dxa"/>
              <w:left w:w="108" w:type="dxa"/>
              <w:bottom w:w="0" w:type="dxa"/>
              <w:right w:w="108" w:type="dxa"/>
            </w:tcMar>
            <w:vAlign w:val="center"/>
            <w:hideMark/>
          </w:tcPr>
          <w:p w14:paraId="6ED8D541" w14:textId="77777777" w:rsidR="006136F3" w:rsidRPr="006136F3" w:rsidRDefault="006136F3" w:rsidP="0078493A">
            <w:pPr>
              <w:spacing w:after="200" w:line="276" w:lineRule="auto"/>
              <w:jc w:val="both"/>
              <w:rPr>
                <w:rFonts w:ascii="Arial" w:hAnsi="Arial" w:cs="Arial"/>
                <w:sz w:val="18"/>
                <w:szCs w:val="18"/>
              </w:rPr>
            </w:pPr>
            <w:r w:rsidRPr="006136F3">
              <w:rPr>
                <w:rFonts w:ascii="Arial" w:hAnsi="Arial" w:cs="Arial"/>
                <w:sz w:val="18"/>
                <w:szCs w:val="18"/>
              </w:rPr>
              <w:t>Name:</w:t>
            </w:r>
          </w:p>
        </w:tc>
        <w:tc>
          <w:tcPr>
            <w:tcW w:w="2394" w:type="dxa"/>
            <w:tcMar>
              <w:top w:w="0" w:type="dxa"/>
              <w:left w:w="108" w:type="dxa"/>
              <w:bottom w:w="0" w:type="dxa"/>
              <w:right w:w="108" w:type="dxa"/>
            </w:tcMar>
            <w:vAlign w:val="center"/>
          </w:tcPr>
          <w:p w14:paraId="0F7A05B8" w14:textId="77777777" w:rsidR="006136F3" w:rsidRPr="006136F3" w:rsidRDefault="006136F3" w:rsidP="0078493A">
            <w:pPr>
              <w:spacing w:after="200" w:line="276" w:lineRule="auto"/>
              <w:jc w:val="both"/>
              <w:rPr>
                <w:rFonts w:ascii="Arial" w:hAnsi="Arial" w:cs="Arial"/>
                <w:sz w:val="18"/>
                <w:szCs w:val="18"/>
              </w:rPr>
            </w:pPr>
          </w:p>
        </w:tc>
        <w:tc>
          <w:tcPr>
            <w:tcW w:w="2394" w:type="dxa"/>
            <w:tcMar>
              <w:top w:w="0" w:type="dxa"/>
              <w:left w:w="108" w:type="dxa"/>
              <w:bottom w:w="0" w:type="dxa"/>
              <w:right w:w="108" w:type="dxa"/>
            </w:tcMar>
            <w:vAlign w:val="center"/>
            <w:hideMark/>
          </w:tcPr>
          <w:p w14:paraId="573A14EC" w14:textId="2F4767C5" w:rsidR="006136F3" w:rsidRPr="006136F3" w:rsidRDefault="006136F3" w:rsidP="0078493A">
            <w:pPr>
              <w:spacing w:after="200" w:line="276" w:lineRule="auto"/>
              <w:jc w:val="both"/>
              <w:rPr>
                <w:rFonts w:ascii="Arial" w:hAnsi="Arial" w:cs="Arial"/>
                <w:sz w:val="18"/>
                <w:szCs w:val="18"/>
              </w:rPr>
            </w:pPr>
            <w:r>
              <w:rPr>
                <w:rFonts w:ascii="Arial" w:hAnsi="Arial" w:cs="Arial"/>
                <w:sz w:val="18"/>
                <w:szCs w:val="18"/>
              </w:rPr>
              <w:t xml:space="preserve">                     </w:t>
            </w:r>
            <w:r w:rsidRPr="006136F3">
              <w:rPr>
                <w:rFonts w:ascii="Arial" w:hAnsi="Arial" w:cs="Arial"/>
                <w:sz w:val="18"/>
                <w:szCs w:val="18"/>
              </w:rPr>
              <w:t>Designation:</w:t>
            </w:r>
          </w:p>
        </w:tc>
        <w:tc>
          <w:tcPr>
            <w:tcW w:w="2394" w:type="dxa"/>
            <w:tcMar>
              <w:top w:w="0" w:type="dxa"/>
              <w:left w:w="108" w:type="dxa"/>
              <w:bottom w:w="0" w:type="dxa"/>
              <w:right w:w="108" w:type="dxa"/>
            </w:tcMar>
            <w:vAlign w:val="center"/>
          </w:tcPr>
          <w:p w14:paraId="6A417A99" w14:textId="77777777" w:rsidR="006136F3" w:rsidRPr="006136F3" w:rsidRDefault="006136F3" w:rsidP="0078493A">
            <w:pPr>
              <w:spacing w:after="200" w:line="276" w:lineRule="auto"/>
              <w:jc w:val="both"/>
              <w:rPr>
                <w:rFonts w:ascii="Arial" w:hAnsi="Arial" w:cs="Arial"/>
                <w:sz w:val="18"/>
                <w:szCs w:val="18"/>
              </w:rPr>
            </w:pPr>
          </w:p>
        </w:tc>
      </w:tr>
      <w:tr w:rsidR="006136F3" w:rsidRPr="006136F3" w14:paraId="57F0C798" w14:textId="77777777" w:rsidTr="006136F3">
        <w:tc>
          <w:tcPr>
            <w:tcW w:w="2394" w:type="dxa"/>
            <w:tcMar>
              <w:top w:w="0" w:type="dxa"/>
              <w:left w:w="108" w:type="dxa"/>
              <w:bottom w:w="0" w:type="dxa"/>
              <w:right w:w="108" w:type="dxa"/>
            </w:tcMar>
            <w:vAlign w:val="center"/>
            <w:hideMark/>
          </w:tcPr>
          <w:p w14:paraId="1393B9B7" w14:textId="77777777" w:rsidR="006136F3" w:rsidRPr="006136F3" w:rsidRDefault="006136F3" w:rsidP="0078493A">
            <w:pPr>
              <w:spacing w:after="200" w:line="276" w:lineRule="auto"/>
              <w:jc w:val="both"/>
              <w:rPr>
                <w:rFonts w:ascii="Arial" w:hAnsi="Arial" w:cs="Arial"/>
                <w:sz w:val="18"/>
                <w:szCs w:val="18"/>
              </w:rPr>
            </w:pPr>
            <w:r w:rsidRPr="006136F3">
              <w:rPr>
                <w:rFonts w:ascii="Arial" w:hAnsi="Arial" w:cs="Arial"/>
                <w:sz w:val="18"/>
                <w:szCs w:val="18"/>
              </w:rPr>
              <w:t>Signature</w:t>
            </w:r>
          </w:p>
        </w:tc>
        <w:tc>
          <w:tcPr>
            <w:tcW w:w="2394" w:type="dxa"/>
            <w:tcMar>
              <w:top w:w="0" w:type="dxa"/>
              <w:left w:w="108" w:type="dxa"/>
              <w:bottom w:w="0" w:type="dxa"/>
              <w:right w:w="108" w:type="dxa"/>
            </w:tcMar>
            <w:vAlign w:val="center"/>
          </w:tcPr>
          <w:p w14:paraId="25486AD6" w14:textId="77777777" w:rsidR="006136F3" w:rsidRPr="006136F3" w:rsidRDefault="006136F3" w:rsidP="0078493A">
            <w:pPr>
              <w:spacing w:after="200" w:line="276" w:lineRule="auto"/>
              <w:jc w:val="both"/>
              <w:rPr>
                <w:rFonts w:ascii="Arial" w:hAnsi="Arial" w:cs="Arial"/>
                <w:sz w:val="18"/>
                <w:szCs w:val="18"/>
              </w:rPr>
            </w:pPr>
          </w:p>
        </w:tc>
        <w:tc>
          <w:tcPr>
            <w:tcW w:w="2394" w:type="dxa"/>
            <w:tcMar>
              <w:top w:w="0" w:type="dxa"/>
              <w:left w:w="108" w:type="dxa"/>
              <w:bottom w:w="0" w:type="dxa"/>
              <w:right w:w="108" w:type="dxa"/>
            </w:tcMar>
            <w:vAlign w:val="center"/>
            <w:hideMark/>
          </w:tcPr>
          <w:p w14:paraId="663766E9" w14:textId="5B2620A7" w:rsidR="006136F3" w:rsidRPr="006136F3" w:rsidRDefault="006136F3" w:rsidP="0078493A">
            <w:pPr>
              <w:spacing w:after="200" w:line="276" w:lineRule="auto"/>
              <w:jc w:val="both"/>
              <w:rPr>
                <w:rFonts w:ascii="Arial" w:hAnsi="Arial" w:cs="Arial"/>
                <w:sz w:val="18"/>
                <w:szCs w:val="18"/>
              </w:rPr>
            </w:pPr>
            <w:r>
              <w:rPr>
                <w:rFonts w:ascii="Arial" w:hAnsi="Arial" w:cs="Arial"/>
                <w:sz w:val="18"/>
                <w:szCs w:val="18"/>
              </w:rPr>
              <w:t xml:space="preserve">                     </w:t>
            </w:r>
            <w:r w:rsidRPr="006136F3">
              <w:rPr>
                <w:rFonts w:ascii="Arial" w:hAnsi="Arial" w:cs="Arial"/>
                <w:sz w:val="18"/>
                <w:szCs w:val="18"/>
              </w:rPr>
              <w:t>Date:</w:t>
            </w:r>
          </w:p>
        </w:tc>
        <w:tc>
          <w:tcPr>
            <w:tcW w:w="2394" w:type="dxa"/>
            <w:tcMar>
              <w:top w:w="0" w:type="dxa"/>
              <w:left w:w="108" w:type="dxa"/>
              <w:bottom w:w="0" w:type="dxa"/>
              <w:right w:w="108" w:type="dxa"/>
            </w:tcMar>
            <w:vAlign w:val="center"/>
          </w:tcPr>
          <w:p w14:paraId="7673EA4F" w14:textId="77777777" w:rsidR="006136F3" w:rsidRPr="006136F3" w:rsidRDefault="006136F3" w:rsidP="0078493A">
            <w:pPr>
              <w:spacing w:after="200" w:line="276" w:lineRule="auto"/>
              <w:jc w:val="both"/>
              <w:rPr>
                <w:rFonts w:ascii="Arial" w:hAnsi="Arial" w:cs="Arial"/>
                <w:sz w:val="18"/>
                <w:szCs w:val="18"/>
              </w:rPr>
            </w:pPr>
          </w:p>
        </w:tc>
      </w:tr>
    </w:tbl>
    <w:p w14:paraId="1AFC381F" w14:textId="77777777" w:rsidR="006136F3" w:rsidRPr="006136F3" w:rsidRDefault="006136F3" w:rsidP="006136F3">
      <w:pPr>
        <w:tabs>
          <w:tab w:val="left" w:pos="0"/>
        </w:tabs>
        <w:rPr>
          <w:rFonts w:ascii="Arial" w:hAnsi="Arial" w:cs="Arial"/>
          <w:b/>
          <w:color w:val="B4985A"/>
          <w:sz w:val="20"/>
          <w:szCs w:val="20"/>
          <w:u w:val="single"/>
        </w:rPr>
      </w:pPr>
    </w:p>
    <w:sectPr w:rsidR="006136F3" w:rsidRPr="006136F3">
      <w:headerReference w:type="default" r:id="rId8"/>
      <w:footerReference w:type="default" r:id="rId9"/>
      <w:pgSz w:w="11240" w:h="15840"/>
      <w:pgMar w:top="1820" w:right="15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D05A" w14:textId="77777777" w:rsidR="00BF7C4D" w:rsidRDefault="00BF7C4D" w:rsidP="00B60A07">
      <w:r>
        <w:separator/>
      </w:r>
    </w:p>
  </w:endnote>
  <w:endnote w:type="continuationSeparator" w:id="0">
    <w:p w14:paraId="073447D5" w14:textId="77777777" w:rsidR="00BF7C4D" w:rsidRDefault="00BF7C4D" w:rsidP="00B6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HTF-Book">
    <w:altName w:val="Cambria"/>
    <w:charset w:val="00"/>
    <w:family w:val="roman"/>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808E" w14:textId="02C04194" w:rsidR="00B60A07" w:rsidRDefault="00265D79" w:rsidP="00B60A07">
    <w:pPr>
      <w:pStyle w:val="BodyText"/>
      <w:spacing w:before="105"/>
      <w:ind w:left="100"/>
    </w:pPr>
    <w:r>
      <w:rPr>
        <w:noProof/>
      </w:rPr>
      <mc:AlternateContent>
        <mc:Choice Requires="wps">
          <w:drawing>
            <wp:anchor distT="0" distB="0" distL="114300" distR="114300" simplePos="0" relativeHeight="251657728" behindDoc="0" locked="0" layoutInCell="1" allowOverlap="1" wp14:anchorId="578BD41F" wp14:editId="4C233F9C">
              <wp:simplePos x="0" y="0"/>
              <wp:positionH relativeFrom="page">
                <wp:posOffset>1330960</wp:posOffset>
              </wp:positionH>
              <wp:positionV relativeFrom="paragraph">
                <wp:posOffset>52070</wp:posOffset>
              </wp:positionV>
              <wp:extent cx="0" cy="299720"/>
              <wp:effectExtent l="0" t="0" r="0" b="0"/>
              <wp:wrapNone/>
              <wp:docPr id="51247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604">
                        <a:solidFill>
                          <a:srgbClr val="B497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0E90"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8pt,4.1pt" to="104.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" strokecolor="#b49759" strokeweight=".52pt">
              <w10:wrap anchorx="page"/>
            </v:line>
          </w:pict>
        </mc:Fallback>
      </mc:AlternateContent>
    </w:r>
    <w:r w:rsidR="00B60A07">
      <w:rPr>
        <w:noProof/>
      </w:rPr>
      <mc:AlternateContent>
        <mc:Choice Requires="wps">
          <w:drawing>
            <wp:anchor distT="0" distB="0" distL="114300" distR="114300" simplePos="0" relativeHeight="251658752" behindDoc="0" locked="0" layoutInCell="1" allowOverlap="1" wp14:anchorId="7EFD53FC" wp14:editId="05698DEF">
              <wp:simplePos x="0" y="0"/>
              <wp:positionH relativeFrom="page">
                <wp:posOffset>6931025</wp:posOffset>
              </wp:positionH>
              <wp:positionV relativeFrom="page">
                <wp:posOffset>0</wp:posOffset>
              </wp:positionV>
              <wp:extent cx="201295" cy="10058400"/>
              <wp:effectExtent l="0" t="0" r="0" b="0"/>
              <wp:wrapNone/>
              <wp:docPr id="6085655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0058400"/>
                      </a:xfrm>
                      <a:prstGeom prst="rect">
                        <a:avLst/>
                      </a:prstGeom>
                      <a:solidFill>
                        <a:srgbClr val="B497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17607" id="Rectangle 4" o:spid="_x0000_s1026" style="position:absolute;margin-left:545.75pt;margin-top:0;width:15.85pt;height:1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" fillcolor="#b49759" stroked="f">
              <w10:wrap anchorx="page" anchory="page"/>
            </v:rect>
          </w:pict>
        </mc:Fallback>
      </mc:AlternateContent>
    </w:r>
    <w:r w:rsidR="00B60A07">
      <w:rPr>
        <w:color w:val="414042"/>
        <w:spacing w:val="-2"/>
      </w:rPr>
      <w:t>T.</w:t>
    </w:r>
    <w:r w:rsidR="00B60A07">
      <w:rPr>
        <w:color w:val="414042"/>
        <w:spacing w:val="-6"/>
      </w:rPr>
      <w:t xml:space="preserve"> </w:t>
    </w:r>
    <w:r w:rsidR="00B60A07">
      <w:rPr>
        <w:color w:val="414042"/>
        <w:spacing w:val="-2"/>
      </w:rPr>
      <w:t>+971</w:t>
    </w:r>
    <w:r w:rsidR="00B60A07">
      <w:rPr>
        <w:color w:val="414042"/>
        <w:spacing w:val="-5"/>
      </w:rPr>
      <w:t xml:space="preserve"> </w:t>
    </w:r>
    <w:r w:rsidR="00B60A07">
      <w:rPr>
        <w:color w:val="414042"/>
        <w:spacing w:val="-2"/>
      </w:rPr>
      <w:t>4361</w:t>
    </w:r>
    <w:r w:rsidR="00B60A07">
      <w:rPr>
        <w:color w:val="414042"/>
        <w:spacing w:val="-5"/>
      </w:rPr>
      <w:t xml:space="preserve"> </w:t>
    </w:r>
    <w:r w:rsidR="00B60A07">
      <w:rPr>
        <w:color w:val="414042"/>
        <w:spacing w:val="-4"/>
      </w:rPr>
      <w:t>1616</w:t>
    </w:r>
    <w:r w:rsidRPr="00265D79">
      <w:rPr>
        <w:color w:val="414042"/>
        <w:spacing w:val="-8"/>
        <w:w w:val="105"/>
      </w:rPr>
      <w:t xml:space="preserve"> </w:t>
    </w:r>
    <w:r>
      <w:rPr>
        <w:color w:val="414042"/>
        <w:spacing w:val="-8"/>
        <w:w w:val="105"/>
      </w:rPr>
      <w:t xml:space="preserve">          Floor 37, Gold Tower</w:t>
    </w:r>
  </w:p>
  <w:p w14:paraId="2D319284" w14:textId="36A7BE90" w:rsidR="00B60A07" w:rsidRDefault="00B60A07" w:rsidP="00265D79">
    <w:pPr>
      <w:pStyle w:val="BodyText"/>
      <w:spacing w:before="16"/>
      <w:ind w:left="100"/>
    </w:pPr>
    <w:r>
      <w:rPr>
        <w:color w:val="414042"/>
      </w:rPr>
      <w:t>F.</w:t>
    </w:r>
    <w:r>
      <w:rPr>
        <w:color w:val="414042"/>
        <w:spacing w:val="-9"/>
      </w:rPr>
      <w:t xml:space="preserve"> </w:t>
    </w:r>
    <w:r>
      <w:rPr>
        <w:color w:val="414042"/>
      </w:rPr>
      <w:t>+971</w:t>
    </w:r>
    <w:r>
      <w:rPr>
        <w:color w:val="414042"/>
        <w:spacing w:val="-8"/>
      </w:rPr>
      <w:t xml:space="preserve"> </w:t>
    </w:r>
    <w:r>
      <w:rPr>
        <w:color w:val="414042"/>
      </w:rPr>
      <w:t>4</w:t>
    </w:r>
    <w:r>
      <w:rPr>
        <w:color w:val="414042"/>
        <w:spacing w:val="-9"/>
      </w:rPr>
      <w:t xml:space="preserve"> </w:t>
    </w:r>
    <w:r>
      <w:rPr>
        <w:color w:val="414042"/>
      </w:rPr>
      <w:t>361</w:t>
    </w:r>
    <w:r>
      <w:rPr>
        <w:color w:val="414042"/>
        <w:spacing w:val="-8"/>
      </w:rPr>
      <w:t xml:space="preserve"> </w:t>
    </w:r>
    <w:r>
      <w:rPr>
        <w:color w:val="414042"/>
      </w:rPr>
      <w:t>16</w:t>
    </w:r>
    <w:r>
      <w:rPr>
        <w:color w:val="414042"/>
        <w:spacing w:val="-8"/>
      </w:rPr>
      <w:t xml:space="preserve"> </w:t>
    </w:r>
    <w:r>
      <w:rPr>
        <w:color w:val="414042"/>
        <w:spacing w:val="-5"/>
      </w:rPr>
      <w:t>17</w:t>
    </w:r>
    <w:r w:rsidR="00265D79">
      <w:rPr>
        <w:color w:val="414042"/>
        <w:spacing w:val="-5"/>
      </w:rPr>
      <w:t xml:space="preserve">       </w:t>
    </w:r>
    <w:r w:rsidR="00265D79" w:rsidRPr="00265D79">
      <w:rPr>
        <w:color w:val="414042"/>
        <w:w w:val="105"/>
      </w:rPr>
      <w:t xml:space="preserve"> </w:t>
    </w:r>
    <w:r w:rsidR="00265D79">
      <w:rPr>
        <w:color w:val="414042"/>
        <w:w w:val="105"/>
      </w:rPr>
      <w:t>JLT Cluster I</w:t>
    </w:r>
  </w:p>
  <w:p w14:paraId="7F4702F0" w14:textId="6A54CF26" w:rsidR="00265D79" w:rsidRDefault="00B60A07" w:rsidP="00265D79">
    <w:pPr>
      <w:pStyle w:val="BodyText"/>
      <w:spacing w:before="1"/>
      <w:ind w:left="100"/>
    </w:pPr>
    <w:r>
      <w:rPr>
        <w:color w:val="414042"/>
      </w:rPr>
      <w:t>E.</w:t>
    </w:r>
    <w:r w:rsidRPr="00F04022">
      <w:rPr>
        <w:color w:val="414042"/>
      </w:rPr>
      <w:t xml:space="preserve"> </w:t>
    </w:r>
    <w:hyperlink r:id="rId1" w:history="1">
      <w:r w:rsidR="00F04022" w:rsidRPr="00F04022">
        <w:rPr>
          <w:color w:val="414042"/>
        </w:rPr>
        <w:t>info@dgcx.ae</w:t>
      </w:r>
    </w:hyperlink>
    <w:r w:rsidR="00265D79" w:rsidRPr="00265D79">
      <w:rPr>
        <w:color w:val="414042"/>
      </w:rPr>
      <w:t xml:space="preserve"> </w:t>
    </w:r>
    <w:r w:rsidR="00265D79">
      <w:rPr>
        <w:color w:val="414042"/>
      </w:rPr>
      <w:t xml:space="preserve">           </w:t>
    </w:r>
    <w:r w:rsidR="00F04022">
      <w:rPr>
        <w:color w:val="414042"/>
      </w:rPr>
      <w:t xml:space="preserve">  </w:t>
    </w:r>
    <w:r w:rsidR="00265D79">
      <w:rPr>
        <w:color w:val="414042"/>
      </w:rPr>
      <w:t>PO</w:t>
    </w:r>
    <w:r w:rsidR="00265D79">
      <w:rPr>
        <w:color w:val="414042"/>
        <w:spacing w:val="-9"/>
      </w:rPr>
      <w:t xml:space="preserve"> </w:t>
    </w:r>
    <w:r w:rsidR="00265D79">
      <w:rPr>
        <w:color w:val="414042"/>
      </w:rPr>
      <w:t>Box</w:t>
    </w:r>
    <w:r w:rsidR="00265D79">
      <w:rPr>
        <w:color w:val="414042"/>
        <w:spacing w:val="-8"/>
      </w:rPr>
      <w:t xml:space="preserve"> </w:t>
    </w:r>
    <w:r w:rsidR="00265D79">
      <w:rPr>
        <w:color w:val="414042"/>
      </w:rPr>
      <w:t>37736,</w:t>
    </w:r>
    <w:r w:rsidR="00265D79">
      <w:rPr>
        <w:color w:val="414042"/>
        <w:spacing w:val="-8"/>
      </w:rPr>
      <w:t xml:space="preserve"> </w:t>
    </w:r>
    <w:r w:rsidR="00265D79">
      <w:rPr>
        <w:color w:val="414042"/>
      </w:rPr>
      <w:t>Dubai,</w:t>
    </w:r>
    <w:r w:rsidR="00265D79">
      <w:rPr>
        <w:color w:val="414042"/>
        <w:spacing w:val="-8"/>
      </w:rPr>
      <w:t xml:space="preserve"> </w:t>
    </w:r>
    <w:r w:rsidR="00265D79">
      <w:rPr>
        <w:color w:val="414042"/>
        <w:spacing w:val="-5"/>
      </w:rPr>
      <w:t>UAE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E4E4" w14:textId="77777777" w:rsidR="00BF7C4D" w:rsidRDefault="00BF7C4D" w:rsidP="00B60A07">
      <w:r>
        <w:separator/>
      </w:r>
    </w:p>
  </w:footnote>
  <w:footnote w:type="continuationSeparator" w:id="0">
    <w:p w14:paraId="67C35ADD" w14:textId="77777777" w:rsidR="00BF7C4D" w:rsidRDefault="00BF7C4D" w:rsidP="00B6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839F" w14:textId="48C9870D" w:rsidR="00B60A07" w:rsidRDefault="007E54A2">
    <w:pPr>
      <w:pStyle w:val="Header"/>
    </w:pPr>
    <w:r w:rsidRPr="00A81CEC">
      <w:rPr>
        <w:b/>
        <w:bCs/>
        <w:noProof/>
        <w:color w:val="B39759"/>
        <w:spacing w:val="-4"/>
        <w:sz w:val="74"/>
        <w:szCs w:val="74"/>
        <w:lang w:val="fr-FR"/>
      </w:rPr>
      <w:drawing>
        <wp:inline distT="0" distB="0" distL="0" distR="0" wp14:anchorId="764ED370" wp14:editId="49126819">
          <wp:extent cx="1358900" cy="368300"/>
          <wp:effectExtent l="0" t="0" r="0" b="0"/>
          <wp:docPr id="129348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88571" name=""/>
                  <pic:cNvPicPr/>
                </pic:nvPicPr>
                <pic:blipFill>
                  <a:blip r:embed="rId1"/>
                  <a:stretch>
                    <a:fillRect/>
                  </a:stretch>
                </pic:blipFill>
                <pic:spPr>
                  <a:xfrm>
                    <a:off x="0" y="0"/>
                    <a:ext cx="1358900" cy="368300"/>
                  </a:xfrm>
                  <a:prstGeom prst="rect">
                    <a:avLst/>
                  </a:prstGeom>
                </pic:spPr>
              </pic:pic>
            </a:graphicData>
          </a:graphic>
        </wp:inline>
      </w:drawing>
    </w:r>
  </w:p>
  <w:p w14:paraId="0B13FC14" w14:textId="77777777" w:rsidR="00B60A07" w:rsidRDefault="00B6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F22"/>
    <w:multiLevelType w:val="hybridMultilevel"/>
    <w:tmpl w:val="23AA83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5DB5A50"/>
    <w:multiLevelType w:val="hybridMultilevel"/>
    <w:tmpl w:val="E174B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1B2746"/>
    <w:multiLevelType w:val="hybridMultilevel"/>
    <w:tmpl w:val="454CC8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53A94F2C"/>
    <w:multiLevelType w:val="hybridMultilevel"/>
    <w:tmpl w:val="EBA60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5C46A63"/>
    <w:multiLevelType w:val="hybridMultilevel"/>
    <w:tmpl w:val="76F4F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CA04DAB"/>
    <w:multiLevelType w:val="hybridMultilevel"/>
    <w:tmpl w:val="AA8E8F3C"/>
    <w:lvl w:ilvl="0" w:tplc="AE6266C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09174145">
    <w:abstractNumId w:val="2"/>
  </w:num>
  <w:num w:numId="2" w16cid:durableId="1019890309">
    <w:abstractNumId w:val="0"/>
  </w:num>
  <w:num w:numId="3" w16cid:durableId="1456144486">
    <w:abstractNumId w:val="3"/>
  </w:num>
  <w:num w:numId="4" w16cid:durableId="1621759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9547138">
    <w:abstractNumId w:val="1"/>
  </w:num>
  <w:num w:numId="6" w16cid:durableId="601576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172D"/>
    <w:rsid w:val="000613FC"/>
    <w:rsid w:val="00157E6F"/>
    <w:rsid w:val="001720D0"/>
    <w:rsid w:val="001A7172"/>
    <w:rsid w:val="001D2DEF"/>
    <w:rsid w:val="00265D79"/>
    <w:rsid w:val="00267369"/>
    <w:rsid w:val="00300E6C"/>
    <w:rsid w:val="003A7C93"/>
    <w:rsid w:val="003D483B"/>
    <w:rsid w:val="00454D49"/>
    <w:rsid w:val="004B3296"/>
    <w:rsid w:val="005E7806"/>
    <w:rsid w:val="00604A7C"/>
    <w:rsid w:val="006136F3"/>
    <w:rsid w:val="00620656"/>
    <w:rsid w:val="006406AC"/>
    <w:rsid w:val="006674A0"/>
    <w:rsid w:val="006F3BB1"/>
    <w:rsid w:val="007E54A2"/>
    <w:rsid w:val="009E172D"/>
    <w:rsid w:val="00B60A07"/>
    <w:rsid w:val="00BF7C4D"/>
    <w:rsid w:val="00C035AA"/>
    <w:rsid w:val="00C41E90"/>
    <w:rsid w:val="00F040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CF18"/>
  <w15:docId w15:val="{C7BE5114-DCEA-4AC8-A6C3-21BFC21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HTF-Book" w:eastAsia="GothamHTF-Book" w:hAnsi="GothamHTF-Book" w:cs="GothamHTF-Book"/>
    </w:rPr>
  </w:style>
  <w:style w:type="paragraph" w:styleId="Heading2">
    <w:name w:val="heading 2"/>
    <w:basedOn w:val="Normal"/>
    <w:next w:val="Normal"/>
    <w:link w:val="Heading2Char"/>
    <w:qFormat/>
    <w:rsid w:val="00B60A07"/>
    <w:pPr>
      <w:keepNext/>
      <w:widowControl/>
      <w:autoSpaceDE/>
      <w:autoSpaceDN/>
      <w:ind w:left="360"/>
      <w:jc w:val="both"/>
      <w:outlineLvl w:val="1"/>
    </w:pPr>
    <w:rPr>
      <w:rFonts w:ascii="Book Antiqua" w:eastAsia="Times New Roman" w:hAnsi="Book Antiqua" w:cs="Times New Roman"/>
      <w:b/>
      <w:bCs/>
      <w:color w:val="0000FF"/>
      <w:szCs w:val="20"/>
      <w:lang w:val="en-GB"/>
    </w:rPr>
  </w:style>
  <w:style w:type="paragraph" w:styleId="Heading3">
    <w:name w:val="heading 3"/>
    <w:basedOn w:val="Normal"/>
    <w:next w:val="Normal"/>
    <w:link w:val="Heading3Char"/>
    <w:uiPriority w:val="9"/>
    <w:semiHidden/>
    <w:unhideWhenUsed/>
    <w:qFormat/>
    <w:rsid w:val="003A7C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206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0A07"/>
    <w:pPr>
      <w:tabs>
        <w:tab w:val="center" w:pos="4513"/>
        <w:tab w:val="right" w:pos="9026"/>
      </w:tabs>
    </w:pPr>
  </w:style>
  <w:style w:type="character" w:customStyle="1" w:styleId="HeaderChar">
    <w:name w:val="Header Char"/>
    <w:basedOn w:val="DefaultParagraphFont"/>
    <w:link w:val="Header"/>
    <w:uiPriority w:val="99"/>
    <w:rsid w:val="00B60A07"/>
    <w:rPr>
      <w:rFonts w:ascii="GothamHTF-Book" w:eastAsia="GothamHTF-Book" w:hAnsi="GothamHTF-Book" w:cs="GothamHTF-Book"/>
    </w:rPr>
  </w:style>
  <w:style w:type="paragraph" w:styleId="Footer">
    <w:name w:val="footer"/>
    <w:basedOn w:val="Normal"/>
    <w:link w:val="FooterChar"/>
    <w:uiPriority w:val="99"/>
    <w:unhideWhenUsed/>
    <w:rsid w:val="00B60A07"/>
    <w:pPr>
      <w:tabs>
        <w:tab w:val="center" w:pos="4513"/>
        <w:tab w:val="right" w:pos="9026"/>
      </w:tabs>
    </w:pPr>
  </w:style>
  <w:style w:type="character" w:customStyle="1" w:styleId="FooterChar">
    <w:name w:val="Footer Char"/>
    <w:basedOn w:val="DefaultParagraphFont"/>
    <w:link w:val="Footer"/>
    <w:uiPriority w:val="99"/>
    <w:rsid w:val="00B60A07"/>
    <w:rPr>
      <w:rFonts w:ascii="GothamHTF-Book" w:eastAsia="GothamHTF-Book" w:hAnsi="GothamHTF-Book" w:cs="GothamHTF-Book"/>
    </w:rPr>
  </w:style>
  <w:style w:type="character" w:customStyle="1" w:styleId="Heading2Char">
    <w:name w:val="Heading 2 Char"/>
    <w:basedOn w:val="DefaultParagraphFont"/>
    <w:link w:val="Heading2"/>
    <w:rsid w:val="00B60A07"/>
    <w:rPr>
      <w:rFonts w:ascii="Book Antiqua" w:eastAsia="Times New Roman" w:hAnsi="Book Antiqua" w:cs="Times New Roman"/>
      <w:b/>
      <w:bCs/>
      <w:color w:val="0000FF"/>
      <w:szCs w:val="20"/>
      <w:lang w:val="en-GB"/>
    </w:rPr>
  </w:style>
  <w:style w:type="character" w:customStyle="1" w:styleId="Heading3Char">
    <w:name w:val="Heading 3 Char"/>
    <w:basedOn w:val="DefaultParagraphFont"/>
    <w:link w:val="Heading3"/>
    <w:uiPriority w:val="9"/>
    <w:semiHidden/>
    <w:rsid w:val="003A7C9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620656"/>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F04022"/>
    <w:rPr>
      <w:color w:val="0000FF" w:themeColor="hyperlink"/>
      <w:u w:val="single"/>
    </w:rPr>
  </w:style>
  <w:style w:type="character" w:styleId="UnresolvedMention">
    <w:name w:val="Unresolved Mention"/>
    <w:basedOn w:val="DefaultParagraphFont"/>
    <w:uiPriority w:val="99"/>
    <w:semiHidden/>
    <w:unhideWhenUsed/>
    <w:rsid w:val="00F04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dgcx.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TBClassification>
  <attrValue xml:space="preserve">Public</attrValue>
  <customPropName>Classification</customPropName>
  <timestamp>01/05/2023 16:44:06</timestamp>
  <userName>DGCX\SalamG</userName>
  <computerName>SALAMG.dgcx.ae</computerName>
  <guid>{23eec6ea-d2a9-448c-94b1-03d14d960728}</guid>
</GTBClassification>
</file>

<file path=customXml/itemProps1.xml><?xml version="1.0" encoding="utf-8"?>
<ds:datastoreItem xmlns:ds="http://schemas.openxmlformats.org/officeDocument/2006/customXml" ds:itemID="{1D76CFFE-CA05-49A3-878C-F25B2795E2B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363</Words>
  <Characters>1947</Characters>
  <Application>Microsoft Office Word</Application>
  <DocSecurity>0</DocSecurity>
  <Lines>56</Lines>
  <Paragraphs>22</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ClassificationData:&lt;Classification:Public&gt;</cp:keywords>
  <cp:lastModifiedBy>Salam Ghabeish</cp:lastModifiedBy>
  <cp:revision>21</cp:revision>
  <cp:lastPrinted>2023-11-02T07:54:00Z</cp:lastPrinted>
  <dcterms:created xsi:type="dcterms:W3CDTF">2023-04-25T11:42:00Z</dcterms:created>
  <dcterms:modified xsi:type="dcterms:W3CDTF">2023-11-08T10:59:00Z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Adobe InDesign 18.2 (Macintosh)</vt:lpwstr>
  </property>
  <property fmtid="{D5CDD505-2E9C-101B-9397-08002B2CF9AE}" pid="4" name="LastSaved">
    <vt:filetime>2023-04-25T00:00:00Z</vt:filetime>
  </property>
  <property fmtid="{D5CDD505-2E9C-101B-9397-08002B2CF9AE}" pid="5" name="Producer">
    <vt:lpwstr>Adobe PDF Library 17.0</vt:lpwstr>
  </property>
  <property fmtid="{D5CDD505-2E9C-101B-9397-08002B2CF9AE}" pid="6" name="GrammarlyDocumentId">
    <vt:lpwstr>6d8cad5e49907c5cfe4eaf84a76e9f4da9f3f478b9ae0cc4679a5e4e1c8a1f03</vt:lpwstr>
  </property>
  <property fmtid="{D5CDD505-2E9C-101B-9397-08002B2CF9AE}" pid="7" name="Classification">
    <vt:lpwstr>Public</vt:lpwstr>
  </property>
  <property fmtid="{D5CDD505-2E9C-101B-9397-08002B2CF9AE}" pid="8" name="ClassifiedBy">
    <vt:lpwstr>DGCX\SalamG</vt:lpwstr>
  </property>
  <property fmtid="{D5CDD505-2E9C-101B-9397-08002B2CF9AE}" pid="9" name="ClassificationHost">
    <vt:lpwstr>SALAMG.dgcx.ae</vt:lpwstr>
  </property>
  <property fmtid="{D5CDD505-2E9C-101B-9397-08002B2CF9AE}" pid="10" name="ClassificationDate">
    <vt:lpwstr>01/05/2023 16:44:06</vt:lpwstr>
  </property>
  <property fmtid="{D5CDD505-2E9C-101B-9397-08002B2CF9AE}" pid="11" name="ClassificationGUID">
    <vt:lpwstr>{23eec6ea-d2a9-448c-94b1-03d14d960728}</vt:lpwstr>
  </property>
</Properties>
</file>