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B14D" w14:textId="77777777" w:rsidR="009E172D" w:rsidRDefault="009E172D">
      <w:pPr>
        <w:pStyle w:val="BodyText"/>
        <w:rPr>
          <w:rFonts w:ascii="Times New Roman"/>
          <w:sz w:val="20"/>
        </w:rPr>
      </w:pPr>
    </w:p>
    <w:p w14:paraId="0736150E" w14:textId="77777777" w:rsidR="00267369" w:rsidRPr="00620656" w:rsidRDefault="00267369" w:rsidP="00620656">
      <w:pPr>
        <w:pStyle w:val="BodyText"/>
        <w:ind w:left="100"/>
        <w:jc w:val="center"/>
        <w:rPr>
          <w:rFonts w:asciiTheme="minorBidi" w:hAnsiTheme="minorBidi" w:cstheme="minorBidi"/>
          <w:b/>
          <w:bCs/>
          <w:sz w:val="24"/>
          <w:szCs w:val="24"/>
        </w:rPr>
      </w:pPr>
      <w:r w:rsidRPr="00620656">
        <w:rPr>
          <w:rFonts w:asciiTheme="minorBidi" w:hAnsiTheme="minorBidi" w:cstheme="minorBidi"/>
          <w:b/>
          <w:bCs/>
          <w:sz w:val="24"/>
          <w:szCs w:val="24"/>
        </w:rPr>
        <w:t>Risk Disclosure Statement for clients of Dubai Gold &amp; Commodities Exchange (DGCX) and Dubai Commodities Clearing Corporation (DCCC)</w:t>
      </w:r>
    </w:p>
    <w:p w14:paraId="5E43C198" w14:textId="77777777" w:rsidR="009E172D" w:rsidRPr="00267369" w:rsidRDefault="009E172D">
      <w:pPr>
        <w:pStyle w:val="BodyText"/>
        <w:rPr>
          <w:rFonts w:ascii="Times New Roman"/>
          <w:sz w:val="20"/>
          <w:lang w:val="en-GB"/>
        </w:rPr>
      </w:pPr>
    </w:p>
    <w:p w14:paraId="76EC0F5F" w14:textId="77777777" w:rsidR="00620656" w:rsidRDefault="00620656" w:rsidP="00620656">
      <w:pPr>
        <w:pBdr>
          <w:bottom w:val="double" w:sz="6" w:space="2" w:color="auto"/>
        </w:pBdr>
        <w:jc w:val="both"/>
        <w:rPr>
          <w:rFonts w:ascii="Arial" w:hAnsi="Arial" w:cs="Arial"/>
          <w:color w:val="808080"/>
          <w:sz w:val="16"/>
        </w:rPr>
      </w:pPr>
      <w:r>
        <w:rPr>
          <w:rFonts w:ascii="Arial" w:hAnsi="Arial" w:cs="Arial"/>
          <w:b/>
          <w:color w:val="808080"/>
          <w:sz w:val="16"/>
        </w:rPr>
        <w:t xml:space="preserve">Note: </w:t>
      </w:r>
      <w:r>
        <w:rPr>
          <w:rFonts w:ascii="Arial" w:hAnsi="Arial" w:cs="Arial"/>
          <w:color w:val="808080"/>
          <w:sz w:val="16"/>
        </w:rPr>
        <w:t>To be printed off by respective Broker Members and maintained along with requisite documentation for a given Client.</w:t>
      </w:r>
    </w:p>
    <w:p w14:paraId="6866D043" w14:textId="77777777" w:rsidR="009E172D" w:rsidRDefault="009E172D">
      <w:pPr>
        <w:pStyle w:val="BodyText"/>
        <w:rPr>
          <w:rFonts w:ascii="Times New Roman"/>
          <w:sz w:val="20"/>
        </w:rPr>
      </w:pPr>
    </w:p>
    <w:p w14:paraId="1C8831C1" w14:textId="77777777" w:rsidR="00620656" w:rsidRPr="006406AC" w:rsidRDefault="00620656" w:rsidP="00620656">
      <w:pPr>
        <w:tabs>
          <w:tab w:val="left" w:pos="0"/>
        </w:tabs>
        <w:rPr>
          <w:rFonts w:ascii="Arial" w:hAnsi="Arial" w:cs="Arial"/>
          <w:b/>
          <w:iCs/>
          <w:sz w:val="20"/>
          <w:szCs w:val="20"/>
          <w:u w:val="single"/>
        </w:rPr>
      </w:pPr>
      <w:r w:rsidRPr="006406AC">
        <w:rPr>
          <w:rFonts w:ascii="Arial" w:hAnsi="Arial" w:cs="Arial"/>
          <w:b/>
          <w:iCs/>
          <w:sz w:val="20"/>
          <w:szCs w:val="20"/>
          <w:u w:val="single"/>
        </w:rPr>
        <w:t>Introduction</w:t>
      </w:r>
    </w:p>
    <w:p w14:paraId="2FE983D1" w14:textId="77777777" w:rsidR="00620656" w:rsidRPr="006406AC" w:rsidRDefault="00620656" w:rsidP="00620656">
      <w:pPr>
        <w:jc w:val="both"/>
        <w:rPr>
          <w:rFonts w:ascii="Arial" w:hAnsi="Arial" w:cs="Arial"/>
          <w:b/>
          <w:i/>
          <w:sz w:val="20"/>
          <w:szCs w:val="20"/>
          <w:u w:val="single"/>
        </w:rPr>
      </w:pPr>
    </w:p>
    <w:p w14:paraId="2C72C670" w14:textId="77777777" w:rsidR="00620656" w:rsidRPr="006406AC" w:rsidRDefault="00620656" w:rsidP="00620656">
      <w:pPr>
        <w:widowControl/>
        <w:numPr>
          <w:ilvl w:val="0"/>
          <w:numId w:val="3"/>
        </w:numPr>
        <w:autoSpaceDE/>
        <w:autoSpaceDN/>
        <w:jc w:val="both"/>
        <w:rPr>
          <w:rFonts w:ascii="Arial" w:hAnsi="Arial" w:cs="Arial"/>
          <w:sz w:val="20"/>
          <w:szCs w:val="20"/>
        </w:rPr>
      </w:pPr>
      <w:r w:rsidRPr="006406AC">
        <w:rPr>
          <w:rFonts w:ascii="Arial" w:hAnsi="Arial" w:cs="Arial"/>
          <w:sz w:val="20"/>
          <w:szCs w:val="20"/>
        </w:rPr>
        <w:t xml:space="preserve">Trading in </w:t>
      </w:r>
      <w:proofErr w:type="gramStart"/>
      <w:r w:rsidRPr="006406AC">
        <w:rPr>
          <w:rFonts w:ascii="Arial" w:hAnsi="Arial" w:cs="Arial"/>
          <w:sz w:val="20"/>
          <w:szCs w:val="20"/>
        </w:rPr>
        <w:t>commodity</w:t>
      </w:r>
      <w:proofErr w:type="gramEnd"/>
      <w:r w:rsidRPr="006406AC">
        <w:rPr>
          <w:rFonts w:ascii="Arial" w:hAnsi="Arial" w:cs="Arial"/>
          <w:sz w:val="20"/>
          <w:szCs w:val="20"/>
        </w:rPr>
        <w:t xml:space="preserve"> and financial futures and options involves considerable financial risk. This brief statement has been approved by DGCX and DCCC and is provided to clients of DGCX Broker Members to present an overview of the risks. It does not disclose all the risks or other significant aspects of trading commodities and financial futures and options on DGCX. Useful educational material that deals with many of these issues is available from DGCX. You are requested to read this </w:t>
      </w:r>
      <w:proofErr w:type="gramStart"/>
      <w:r w:rsidRPr="006406AC">
        <w:rPr>
          <w:rFonts w:ascii="Arial" w:hAnsi="Arial" w:cs="Arial"/>
          <w:sz w:val="20"/>
          <w:szCs w:val="20"/>
        </w:rPr>
        <w:t>statement, and</w:t>
      </w:r>
      <w:proofErr w:type="gramEnd"/>
      <w:r w:rsidRPr="006406AC">
        <w:rPr>
          <w:rFonts w:ascii="Arial" w:hAnsi="Arial" w:cs="Arial"/>
          <w:sz w:val="20"/>
          <w:szCs w:val="20"/>
        </w:rPr>
        <w:t xml:space="preserve"> sign the attached acknowledgement and return it to the Broker Member through whom you propose to trade on DGCX.</w:t>
      </w:r>
    </w:p>
    <w:p w14:paraId="4A33848A" w14:textId="77777777" w:rsidR="00620656" w:rsidRPr="006406AC" w:rsidRDefault="00620656" w:rsidP="00620656">
      <w:pPr>
        <w:ind w:left="360"/>
        <w:jc w:val="both"/>
        <w:rPr>
          <w:rFonts w:ascii="Arial" w:hAnsi="Arial" w:cs="Arial"/>
          <w:sz w:val="20"/>
          <w:szCs w:val="20"/>
        </w:rPr>
      </w:pPr>
    </w:p>
    <w:p w14:paraId="35707168" w14:textId="77777777" w:rsidR="00620656" w:rsidRPr="006406AC" w:rsidRDefault="00620656" w:rsidP="00620656">
      <w:pPr>
        <w:widowControl/>
        <w:numPr>
          <w:ilvl w:val="0"/>
          <w:numId w:val="3"/>
        </w:numPr>
        <w:autoSpaceDE/>
        <w:autoSpaceDN/>
        <w:jc w:val="both"/>
        <w:rPr>
          <w:rFonts w:ascii="Arial" w:hAnsi="Arial" w:cs="Arial"/>
          <w:sz w:val="20"/>
          <w:szCs w:val="20"/>
        </w:rPr>
      </w:pPr>
      <w:r w:rsidRPr="006406AC">
        <w:rPr>
          <w:rFonts w:ascii="Arial" w:hAnsi="Arial" w:cs="Arial"/>
          <w:sz w:val="20"/>
          <w:szCs w:val="20"/>
        </w:rPr>
        <w:t xml:space="preserve">Trading in commodities and financial futures and options is not suitable for many members of the public. Before you sign a Client Agreement with your broker and commence trading on DGCX you should consider carefully whether trading in commodity futures or options is appropriate for you (or your company), </w:t>
      </w:r>
      <w:proofErr w:type="gramStart"/>
      <w:r w:rsidRPr="006406AC">
        <w:rPr>
          <w:rFonts w:ascii="Arial" w:hAnsi="Arial" w:cs="Arial"/>
          <w:sz w:val="20"/>
          <w:szCs w:val="20"/>
        </w:rPr>
        <w:t>in light of</w:t>
      </w:r>
      <w:proofErr w:type="gramEnd"/>
      <w:r w:rsidRPr="006406AC">
        <w:rPr>
          <w:rFonts w:ascii="Arial" w:hAnsi="Arial" w:cs="Arial"/>
          <w:sz w:val="20"/>
          <w:szCs w:val="20"/>
        </w:rPr>
        <w:t xml:space="preserve"> your experience, objectives and financial resources. In doing so you should obtain a clear understanding of the nature of the contracts (and contractual relationships) into which you will be entering.</w:t>
      </w:r>
    </w:p>
    <w:p w14:paraId="35BB835D" w14:textId="77777777" w:rsidR="00620656" w:rsidRPr="006406AC" w:rsidRDefault="00620656" w:rsidP="00620656">
      <w:pPr>
        <w:jc w:val="both"/>
        <w:rPr>
          <w:rFonts w:ascii="Arial" w:hAnsi="Arial" w:cs="Arial"/>
          <w:b/>
          <w:i/>
          <w:sz w:val="20"/>
          <w:szCs w:val="20"/>
          <w:u w:val="single"/>
        </w:rPr>
      </w:pPr>
    </w:p>
    <w:p w14:paraId="75AB65CB" w14:textId="77777777" w:rsidR="00620656" w:rsidRPr="006406AC" w:rsidRDefault="00620656" w:rsidP="00620656">
      <w:pPr>
        <w:tabs>
          <w:tab w:val="left" w:pos="0"/>
        </w:tabs>
        <w:rPr>
          <w:rFonts w:ascii="Arial" w:hAnsi="Arial" w:cs="Arial"/>
          <w:b/>
          <w:iCs/>
          <w:sz w:val="20"/>
          <w:szCs w:val="20"/>
          <w:u w:val="single"/>
        </w:rPr>
      </w:pPr>
      <w:r w:rsidRPr="006406AC">
        <w:rPr>
          <w:rFonts w:ascii="Arial" w:hAnsi="Arial" w:cs="Arial"/>
          <w:b/>
          <w:iCs/>
          <w:sz w:val="20"/>
          <w:szCs w:val="20"/>
          <w:u w:val="single"/>
        </w:rPr>
        <w:t>Commodity Futures</w:t>
      </w:r>
    </w:p>
    <w:p w14:paraId="4B6D02DF" w14:textId="77777777" w:rsidR="00620656" w:rsidRPr="006406AC" w:rsidRDefault="00620656" w:rsidP="00620656">
      <w:pPr>
        <w:jc w:val="both"/>
        <w:rPr>
          <w:rFonts w:ascii="Arial" w:hAnsi="Arial" w:cs="Arial"/>
          <w:sz w:val="20"/>
          <w:szCs w:val="20"/>
        </w:rPr>
      </w:pPr>
    </w:p>
    <w:p w14:paraId="30141508" w14:textId="77777777" w:rsidR="00620656" w:rsidRPr="006406AC" w:rsidRDefault="00620656" w:rsidP="00620656">
      <w:pPr>
        <w:widowControl/>
        <w:numPr>
          <w:ilvl w:val="0"/>
          <w:numId w:val="3"/>
        </w:numPr>
        <w:autoSpaceDE/>
        <w:autoSpaceDN/>
        <w:jc w:val="both"/>
        <w:rPr>
          <w:rFonts w:ascii="Arial" w:hAnsi="Arial" w:cs="Arial"/>
          <w:b/>
          <w:sz w:val="20"/>
          <w:szCs w:val="20"/>
        </w:rPr>
      </w:pPr>
      <w:r w:rsidRPr="006406AC">
        <w:rPr>
          <w:rFonts w:ascii="Arial" w:hAnsi="Arial" w:cs="Arial"/>
          <w:b/>
          <w:sz w:val="20"/>
          <w:szCs w:val="20"/>
          <w:u w:val="single"/>
        </w:rPr>
        <w:t>Margin Trading and the Effect of “Leverage” or “Gearing”</w:t>
      </w:r>
    </w:p>
    <w:p w14:paraId="0D779C97" w14:textId="77777777" w:rsidR="00620656" w:rsidRPr="006406AC" w:rsidRDefault="00620656" w:rsidP="00620656">
      <w:pPr>
        <w:ind w:left="360"/>
        <w:jc w:val="both"/>
        <w:rPr>
          <w:rFonts w:ascii="Arial" w:hAnsi="Arial" w:cs="Arial"/>
          <w:b/>
          <w:i/>
          <w:sz w:val="20"/>
          <w:szCs w:val="20"/>
        </w:rPr>
      </w:pPr>
      <w:r w:rsidRPr="006406AC">
        <w:rPr>
          <w:rFonts w:ascii="Arial" w:hAnsi="Arial" w:cs="Arial"/>
          <w:sz w:val="20"/>
          <w:szCs w:val="20"/>
        </w:rPr>
        <w:t xml:space="preserve">The amount of initial margin that you are required to deposit before trading on DGCX represents a relatively small proportion of the value of the futures contract. Accordingly, futures transactions are “leveraged” or “geared” and an apparently small movement in the underlying commodity price may have large impact on the funds you have deposited or will have to deposit. While this leveraging may work in your </w:t>
      </w:r>
      <w:proofErr w:type="spellStart"/>
      <w:r w:rsidRPr="006406AC">
        <w:rPr>
          <w:rFonts w:ascii="Arial" w:hAnsi="Arial" w:cs="Arial"/>
          <w:sz w:val="20"/>
          <w:szCs w:val="20"/>
        </w:rPr>
        <w:t>favour</w:t>
      </w:r>
      <w:proofErr w:type="spellEnd"/>
      <w:r w:rsidRPr="006406AC">
        <w:rPr>
          <w:rFonts w:ascii="Arial" w:hAnsi="Arial" w:cs="Arial"/>
          <w:sz w:val="20"/>
          <w:szCs w:val="20"/>
        </w:rPr>
        <w:t xml:space="preserve"> if you correctly anticipated the direction of a price movement, it </w:t>
      </w:r>
      <w:proofErr w:type="gramStart"/>
      <w:r w:rsidRPr="006406AC">
        <w:rPr>
          <w:rFonts w:ascii="Arial" w:hAnsi="Arial" w:cs="Arial"/>
          <w:sz w:val="20"/>
          <w:szCs w:val="20"/>
        </w:rPr>
        <w:t>can</w:t>
      </w:r>
      <w:proofErr w:type="gramEnd"/>
      <w:r w:rsidRPr="006406AC">
        <w:rPr>
          <w:rFonts w:ascii="Arial" w:hAnsi="Arial" w:cs="Arial"/>
          <w:sz w:val="20"/>
          <w:szCs w:val="20"/>
        </w:rPr>
        <w:t xml:space="preserve"> equally work against you in the converse scenario. The risk/return profile of the ‘leveraging effect’ facilitates potentially large profits but </w:t>
      </w:r>
      <w:proofErr w:type="gramStart"/>
      <w:r w:rsidRPr="006406AC">
        <w:rPr>
          <w:rFonts w:ascii="Arial" w:hAnsi="Arial" w:cs="Arial"/>
          <w:sz w:val="20"/>
          <w:szCs w:val="20"/>
        </w:rPr>
        <w:t>also,</w:t>
      </w:r>
      <w:proofErr w:type="gramEnd"/>
      <w:r w:rsidRPr="006406AC">
        <w:rPr>
          <w:rFonts w:ascii="Arial" w:hAnsi="Arial" w:cs="Arial"/>
          <w:sz w:val="20"/>
          <w:szCs w:val="20"/>
        </w:rPr>
        <w:t xml:space="preserve"> large losses.</w:t>
      </w:r>
    </w:p>
    <w:p w14:paraId="40BF07AD" w14:textId="77777777" w:rsidR="00620656" w:rsidRPr="006406AC" w:rsidRDefault="00620656" w:rsidP="00620656">
      <w:pPr>
        <w:jc w:val="both"/>
        <w:rPr>
          <w:rFonts w:ascii="Arial" w:hAnsi="Arial" w:cs="Arial"/>
          <w:sz w:val="20"/>
          <w:szCs w:val="20"/>
        </w:rPr>
      </w:pPr>
    </w:p>
    <w:p w14:paraId="7B9641E0" w14:textId="77777777" w:rsidR="00620656" w:rsidRPr="006406AC" w:rsidRDefault="00620656" w:rsidP="00620656">
      <w:pPr>
        <w:widowControl/>
        <w:numPr>
          <w:ilvl w:val="0"/>
          <w:numId w:val="3"/>
        </w:numPr>
        <w:autoSpaceDE/>
        <w:autoSpaceDN/>
        <w:jc w:val="both"/>
        <w:rPr>
          <w:rFonts w:ascii="Arial" w:hAnsi="Arial" w:cs="Arial"/>
          <w:sz w:val="20"/>
          <w:szCs w:val="20"/>
        </w:rPr>
      </w:pPr>
      <w:r w:rsidRPr="006406AC">
        <w:rPr>
          <w:rFonts w:ascii="Arial" w:hAnsi="Arial" w:cs="Arial"/>
          <w:sz w:val="20"/>
          <w:szCs w:val="20"/>
        </w:rPr>
        <w:t xml:space="preserve">If the market moves against your position or if initial margin requirements are increased by DCCC because of increased market volatility, you may be called upon by your broker to pay additional funds at short notice </w:t>
      </w:r>
      <w:proofErr w:type="gramStart"/>
      <w:r w:rsidRPr="006406AC">
        <w:rPr>
          <w:rFonts w:ascii="Arial" w:hAnsi="Arial" w:cs="Arial"/>
          <w:sz w:val="20"/>
          <w:szCs w:val="20"/>
        </w:rPr>
        <w:t>in order to</w:t>
      </w:r>
      <w:proofErr w:type="gramEnd"/>
      <w:r w:rsidRPr="006406AC">
        <w:rPr>
          <w:rFonts w:ascii="Arial" w:hAnsi="Arial" w:cs="Arial"/>
          <w:sz w:val="20"/>
          <w:szCs w:val="20"/>
        </w:rPr>
        <w:t xml:space="preserve"> maintain your position. Even if you are subject to foreign exchange control rules, it is still your responsibility to ensure that you </w:t>
      </w:r>
      <w:proofErr w:type="gramStart"/>
      <w:r w:rsidRPr="006406AC">
        <w:rPr>
          <w:rFonts w:ascii="Arial" w:hAnsi="Arial" w:cs="Arial"/>
          <w:sz w:val="20"/>
          <w:szCs w:val="20"/>
        </w:rPr>
        <w:t>are able to</w:t>
      </w:r>
      <w:proofErr w:type="gramEnd"/>
      <w:r w:rsidRPr="006406AC">
        <w:rPr>
          <w:rFonts w:ascii="Arial" w:hAnsi="Arial" w:cs="Arial"/>
          <w:sz w:val="20"/>
          <w:szCs w:val="20"/>
        </w:rPr>
        <w:t xml:space="preserve"> meet any margin calls that may be made by your Broker. If you fail to comply with such a request, your position may be liquidated at a </w:t>
      </w:r>
      <w:proofErr w:type="gramStart"/>
      <w:r w:rsidRPr="006406AC">
        <w:rPr>
          <w:rFonts w:ascii="Arial" w:hAnsi="Arial" w:cs="Arial"/>
          <w:sz w:val="20"/>
          <w:szCs w:val="20"/>
        </w:rPr>
        <w:t>loss</w:t>
      </w:r>
      <w:proofErr w:type="gramEnd"/>
      <w:r w:rsidRPr="006406AC">
        <w:rPr>
          <w:rFonts w:ascii="Arial" w:hAnsi="Arial" w:cs="Arial"/>
          <w:sz w:val="20"/>
          <w:szCs w:val="20"/>
        </w:rPr>
        <w:t xml:space="preserve"> and you will be liable for any resulting deficit.</w:t>
      </w:r>
    </w:p>
    <w:p w14:paraId="4E6A19E6" w14:textId="77777777" w:rsidR="00620656" w:rsidRPr="006406AC" w:rsidRDefault="00620656" w:rsidP="00620656">
      <w:pPr>
        <w:jc w:val="both"/>
        <w:rPr>
          <w:rFonts w:ascii="Arial" w:hAnsi="Arial" w:cs="Arial"/>
          <w:sz w:val="20"/>
          <w:szCs w:val="20"/>
        </w:rPr>
      </w:pPr>
    </w:p>
    <w:p w14:paraId="57705935" w14:textId="77777777" w:rsidR="00620656" w:rsidRPr="006406AC" w:rsidRDefault="00620656" w:rsidP="00620656">
      <w:pPr>
        <w:widowControl/>
        <w:numPr>
          <w:ilvl w:val="0"/>
          <w:numId w:val="3"/>
        </w:numPr>
        <w:autoSpaceDE/>
        <w:autoSpaceDN/>
        <w:jc w:val="both"/>
        <w:rPr>
          <w:rFonts w:ascii="Arial" w:hAnsi="Arial" w:cs="Arial"/>
          <w:b/>
          <w:sz w:val="20"/>
          <w:szCs w:val="20"/>
        </w:rPr>
      </w:pPr>
      <w:r w:rsidRPr="006406AC">
        <w:rPr>
          <w:rFonts w:ascii="Arial" w:hAnsi="Arial" w:cs="Arial"/>
          <w:b/>
          <w:sz w:val="20"/>
          <w:szCs w:val="20"/>
          <w:u w:val="single"/>
        </w:rPr>
        <w:t>Loss-limiting Orders or Strategies</w:t>
      </w:r>
    </w:p>
    <w:p w14:paraId="0C1B1921" w14:textId="77777777" w:rsidR="00620656" w:rsidRPr="006406AC" w:rsidRDefault="00620656" w:rsidP="00620656">
      <w:pPr>
        <w:ind w:left="360"/>
        <w:jc w:val="both"/>
        <w:rPr>
          <w:rFonts w:ascii="Arial" w:hAnsi="Arial" w:cs="Arial"/>
          <w:sz w:val="20"/>
          <w:szCs w:val="20"/>
        </w:rPr>
      </w:pPr>
      <w:r w:rsidRPr="006406AC">
        <w:rPr>
          <w:rFonts w:ascii="Arial" w:hAnsi="Arial" w:cs="Arial"/>
          <w:sz w:val="20"/>
          <w:szCs w:val="20"/>
        </w:rPr>
        <w:t>Placing orders, such as a “stop-loss” order, intended to limit losses to a predetermined amount, may not achieve their purpose because market conditions, such as high volatility or lack of liquidity, may make it impossible for your order to be executed. Strategies using “spread” positions (such as “long” and “short” in different delivery months for a commodity, or in different, but related, commodities) may be at least as risky as outright “long” or “short” positions.</w:t>
      </w:r>
    </w:p>
    <w:p w14:paraId="53781E8D" w14:textId="4238E1BC" w:rsidR="00620656" w:rsidRPr="006406AC" w:rsidRDefault="006406AC" w:rsidP="006406AC">
      <w:pPr>
        <w:rPr>
          <w:rFonts w:ascii="Arial" w:hAnsi="Arial" w:cs="Arial"/>
          <w:sz w:val="20"/>
          <w:szCs w:val="20"/>
        </w:rPr>
      </w:pPr>
      <w:r>
        <w:rPr>
          <w:rFonts w:ascii="Arial" w:hAnsi="Arial" w:cs="Arial"/>
          <w:sz w:val="20"/>
          <w:szCs w:val="20"/>
        </w:rPr>
        <w:br w:type="page"/>
      </w:r>
    </w:p>
    <w:p w14:paraId="24D67937" w14:textId="77777777" w:rsidR="00620656" w:rsidRPr="006406AC" w:rsidRDefault="00620656" w:rsidP="00620656">
      <w:pPr>
        <w:tabs>
          <w:tab w:val="left" w:pos="0"/>
        </w:tabs>
        <w:rPr>
          <w:rFonts w:ascii="Arial" w:hAnsi="Arial" w:cs="Arial"/>
          <w:b/>
          <w:iCs/>
          <w:sz w:val="20"/>
          <w:szCs w:val="20"/>
          <w:u w:val="single"/>
        </w:rPr>
      </w:pPr>
      <w:r w:rsidRPr="006406AC">
        <w:rPr>
          <w:rFonts w:ascii="Arial" w:hAnsi="Arial" w:cs="Arial"/>
          <w:b/>
          <w:iCs/>
          <w:sz w:val="20"/>
          <w:szCs w:val="20"/>
          <w:u w:val="single"/>
        </w:rPr>
        <w:lastRenderedPageBreak/>
        <w:t>Commodity Options</w:t>
      </w:r>
    </w:p>
    <w:p w14:paraId="52F4ECF9" w14:textId="77777777" w:rsidR="00620656" w:rsidRPr="006406AC" w:rsidRDefault="00620656" w:rsidP="00620656">
      <w:pPr>
        <w:jc w:val="both"/>
        <w:rPr>
          <w:rFonts w:ascii="Arial" w:hAnsi="Arial" w:cs="Arial"/>
          <w:i/>
          <w:sz w:val="20"/>
          <w:szCs w:val="20"/>
        </w:rPr>
      </w:pPr>
    </w:p>
    <w:p w14:paraId="1933FCED" w14:textId="77777777" w:rsidR="00620656" w:rsidRPr="006406AC" w:rsidRDefault="00620656" w:rsidP="00620656">
      <w:pPr>
        <w:widowControl/>
        <w:numPr>
          <w:ilvl w:val="0"/>
          <w:numId w:val="3"/>
        </w:numPr>
        <w:autoSpaceDE/>
        <w:autoSpaceDN/>
        <w:jc w:val="both"/>
        <w:rPr>
          <w:rFonts w:ascii="Arial" w:hAnsi="Arial" w:cs="Arial"/>
          <w:b/>
          <w:sz w:val="20"/>
          <w:szCs w:val="20"/>
          <w:u w:val="single"/>
        </w:rPr>
      </w:pPr>
      <w:r w:rsidRPr="006406AC">
        <w:rPr>
          <w:rFonts w:ascii="Arial" w:hAnsi="Arial" w:cs="Arial"/>
          <w:b/>
          <w:sz w:val="20"/>
          <w:szCs w:val="20"/>
          <w:u w:val="single"/>
        </w:rPr>
        <w:t>Options on Futures</w:t>
      </w:r>
    </w:p>
    <w:p w14:paraId="7A7ADC39" w14:textId="77777777" w:rsidR="00620656" w:rsidRPr="006406AC" w:rsidRDefault="00620656" w:rsidP="00620656">
      <w:pPr>
        <w:ind w:left="360"/>
        <w:jc w:val="both"/>
        <w:rPr>
          <w:rFonts w:ascii="Arial" w:hAnsi="Arial" w:cs="Arial"/>
          <w:sz w:val="20"/>
          <w:szCs w:val="20"/>
        </w:rPr>
      </w:pPr>
      <w:r w:rsidRPr="006406AC">
        <w:rPr>
          <w:rFonts w:ascii="Arial" w:hAnsi="Arial" w:cs="Arial"/>
          <w:sz w:val="20"/>
          <w:szCs w:val="20"/>
        </w:rPr>
        <w:t>Options traded on DGCX are “Options on Futures” which means that, upon exercise by the buyer, both the buyer and seller of the option acquire a position in the underlying DGCX commodity futures contract. This will entail the risks and liabilities for margin described in Paragraphs 3 &amp; 4 above.</w:t>
      </w:r>
    </w:p>
    <w:p w14:paraId="565F6586" w14:textId="23A3D5F2" w:rsidR="00620656" w:rsidRPr="006406AC" w:rsidRDefault="00620656" w:rsidP="00620656">
      <w:pPr>
        <w:rPr>
          <w:rFonts w:ascii="Arial" w:hAnsi="Arial" w:cs="Arial"/>
          <w:sz w:val="20"/>
          <w:szCs w:val="20"/>
        </w:rPr>
      </w:pPr>
    </w:p>
    <w:p w14:paraId="24C6B866" w14:textId="77777777" w:rsidR="00620656" w:rsidRPr="006406AC" w:rsidRDefault="00620656" w:rsidP="00620656">
      <w:pPr>
        <w:widowControl/>
        <w:numPr>
          <w:ilvl w:val="0"/>
          <w:numId w:val="3"/>
        </w:numPr>
        <w:autoSpaceDE/>
        <w:autoSpaceDN/>
        <w:jc w:val="both"/>
        <w:rPr>
          <w:rFonts w:ascii="Arial" w:hAnsi="Arial" w:cs="Arial"/>
          <w:b/>
          <w:sz w:val="20"/>
          <w:szCs w:val="20"/>
          <w:u w:val="single"/>
        </w:rPr>
      </w:pPr>
      <w:r w:rsidRPr="006406AC">
        <w:rPr>
          <w:rFonts w:ascii="Arial" w:hAnsi="Arial" w:cs="Arial"/>
          <w:b/>
          <w:sz w:val="20"/>
          <w:szCs w:val="20"/>
          <w:u w:val="single"/>
        </w:rPr>
        <w:t>General Risks</w:t>
      </w:r>
    </w:p>
    <w:p w14:paraId="769CD80D" w14:textId="77777777" w:rsidR="00620656" w:rsidRPr="006406AC" w:rsidRDefault="00620656" w:rsidP="00620656">
      <w:pPr>
        <w:ind w:left="360"/>
        <w:jc w:val="both"/>
        <w:rPr>
          <w:rFonts w:ascii="Arial" w:hAnsi="Arial" w:cs="Arial"/>
          <w:sz w:val="20"/>
          <w:szCs w:val="20"/>
        </w:rPr>
      </w:pPr>
      <w:r w:rsidRPr="006406AC">
        <w:rPr>
          <w:rFonts w:ascii="Arial" w:hAnsi="Arial" w:cs="Arial"/>
          <w:sz w:val="20"/>
          <w:szCs w:val="20"/>
        </w:rPr>
        <w:t xml:space="preserve">Aside from the risks upon exercise described in Paragraph 6, options transactions may carry a high degree of risk. Both buyers and sellers of options should be sure that they understand the nature of the option contract (“put” or “call”) that they propose to trade and the associated risk/return profiles in different market scenarios. When buying an </w:t>
      </w:r>
      <w:proofErr w:type="gramStart"/>
      <w:r w:rsidRPr="006406AC">
        <w:rPr>
          <w:rFonts w:ascii="Arial" w:hAnsi="Arial" w:cs="Arial"/>
          <w:sz w:val="20"/>
          <w:szCs w:val="20"/>
        </w:rPr>
        <w:t>option</w:t>
      </w:r>
      <w:proofErr w:type="gramEnd"/>
      <w:r w:rsidRPr="006406AC">
        <w:rPr>
          <w:rFonts w:ascii="Arial" w:hAnsi="Arial" w:cs="Arial"/>
          <w:sz w:val="20"/>
          <w:szCs w:val="20"/>
        </w:rPr>
        <w:t xml:space="preserve"> you should calculate the extent to which the value of an option contract must increase for your position to be profitable, taking into account the price of the option (the “premium”) and all transaction costs. There is no daily mark-to-market on Option position. </w:t>
      </w:r>
      <w:proofErr w:type="gramStart"/>
      <w:r w:rsidRPr="006406AC">
        <w:rPr>
          <w:rFonts w:ascii="Arial" w:hAnsi="Arial" w:cs="Arial"/>
          <w:sz w:val="20"/>
          <w:szCs w:val="20"/>
        </w:rPr>
        <w:t>Buyer</w:t>
      </w:r>
      <w:proofErr w:type="gramEnd"/>
      <w:r w:rsidRPr="006406AC">
        <w:rPr>
          <w:rFonts w:ascii="Arial" w:hAnsi="Arial" w:cs="Arial"/>
          <w:sz w:val="20"/>
          <w:szCs w:val="20"/>
        </w:rPr>
        <w:t xml:space="preserve"> of an option has the liability limited to the premium plus transaction costs related to option. </w:t>
      </w:r>
      <w:proofErr w:type="gramStart"/>
      <w:r w:rsidRPr="006406AC">
        <w:rPr>
          <w:rFonts w:ascii="Arial" w:hAnsi="Arial" w:cs="Arial"/>
          <w:sz w:val="20"/>
          <w:szCs w:val="20"/>
        </w:rPr>
        <w:t>Seller</w:t>
      </w:r>
      <w:proofErr w:type="gramEnd"/>
      <w:r w:rsidRPr="006406AC">
        <w:rPr>
          <w:rFonts w:ascii="Arial" w:hAnsi="Arial" w:cs="Arial"/>
          <w:sz w:val="20"/>
          <w:szCs w:val="20"/>
        </w:rPr>
        <w:t xml:space="preserve"> of an option has limited profit in the form of premium received but has unlimited liability.</w:t>
      </w:r>
    </w:p>
    <w:p w14:paraId="7A1950FF" w14:textId="77777777" w:rsidR="00620656" w:rsidRPr="006406AC" w:rsidRDefault="00620656" w:rsidP="00620656">
      <w:pPr>
        <w:jc w:val="both"/>
        <w:rPr>
          <w:rFonts w:ascii="Arial" w:hAnsi="Arial" w:cs="Arial"/>
          <w:sz w:val="20"/>
          <w:szCs w:val="20"/>
        </w:rPr>
      </w:pPr>
    </w:p>
    <w:p w14:paraId="38454498" w14:textId="77777777" w:rsidR="00620656" w:rsidRPr="006406AC" w:rsidRDefault="00620656" w:rsidP="00620656">
      <w:pPr>
        <w:widowControl/>
        <w:numPr>
          <w:ilvl w:val="0"/>
          <w:numId w:val="3"/>
        </w:numPr>
        <w:autoSpaceDE/>
        <w:autoSpaceDN/>
        <w:jc w:val="both"/>
        <w:rPr>
          <w:rFonts w:ascii="Arial" w:hAnsi="Arial" w:cs="Arial"/>
          <w:b/>
          <w:sz w:val="20"/>
          <w:szCs w:val="20"/>
          <w:u w:val="single"/>
        </w:rPr>
      </w:pPr>
      <w:r w:rsidRPr="006406AC">
        <w:rPr>
          <w:rFonts w:ascii="Arial" w:hAnsi="Arial" w:cs="Arial"/>
          <w:b/>
          <w:sz w:val="20"/>
          <w:szCs w:val="20"/>
          <w:u w:val="single"/>
        </w:rPr>
        <w:t>Buying Options</w:t>
      </w:r>
    </w:p>
    <w:p w14:paraId="54653BBB" w14:textId="77777777" w:rsidR="00620656" w:rsidRPr="006406AC" w:rsidRDefault="00620656" w:rsidP="00620656">
      <w:pPr>
        <w:ind w:left="360"/>
        <w:jc w:val="both"/>
        <w:rPr>
          <w:rFonts w:ascii="Arial" w:hAnsi="Arial" w:cs="Arial"/>
          <w:sz w:val="20"/>
          <w:szCs w:val="20"/>
        </w:rPr>
      </w:pPr>
      <w:r w:rsidRPr="006406AC">
        <w:rPr>
          <w:rFonts w:ascii="Arial" w:hAnsi="Arial" w:cs="Arial"/>
          <w:sz w:val="20"/>
          <w:szCs w:val="20"/>
        </w:rPr>
        <w:t xml:space="preserve">A buyer of an option contract may “close out” the position by </w:t>
      </w:r>
      <w:proofErr w:type="gramStart"/>
      <w:r w:rsidRPr="006406AC">
        <w:rPr>
          <w:rFonts w:ascii="Arial" w:hAnsi="Arial" w:cs="Arial"/>
          <w:sz w:val="20"/>
          <w:szCs w:val="20"/>
        </w:rPr>
        <w:t>entering into</w:t>
      </w:r>
      <w:proofErr w:type="gramEnd"/>
      <w:r w:rsidRPr="006406AC">
        <w:rPr>
          <w:rFonts w:ascii="Arial" w:hAnsi="Arial" w:cs="Arial"/>
          <w:sz w:val="20"/>
          <w:szCs w:val="20"/>
        </w:rPr>
        <w:t xml:space="preserve"> an equal and opposite position in the same option series. Alternatively, he may allow the option to expire worthless or he may exercise the option (as to the last scenario, see Paragraph 6 above). If the option expires </w:t>
      </w:r>
      <w:proofErr w:type="gramStart"/>
      <w:r w:rsidRPr="006406AC">
        <w:rPr>
          <w:rFonts w:ascii="Arial" w:hAnsi="Arial" w:cs="Arial"/>
          <w:sz w:val="20"/>
          <w:szCs w:val="20"/>
        </w:rPr>
        <w:t>worthless</w:t>
      </w:r>
      <w:proofErr w:type="gramEnd"/>
      <w:r w:rsidRPr="006406AC">
        <w:rPr>
          <w:rFonts w:ascii="Arial" w:hAnsi="Arial" w:cs="Arial"/>
          <w:sz w:val="20"/>
          <w:szCs w:val="20"/>
        </w:rPr>
        <w:t xml:space="preserve"> the buyer will lose his total investment (the premium plus transaction costs).</w:t>
      </w:r>
    </w:p>
    <w:p w14:paraId="4AB15DD5" w14:textId="77777777" w:rsidR="00620656" w:rsidRPr="006406AC" w:rsidRDefault="00620656" w:rsidP="00620656">
      <w:pPr>
        <w:jc w:val="both"/>
        <w:rPr>
          <w:rFonts w:ascii="Arial" w:hAnsi="Arial" w:cs="Arial"/>
          <w:sz w:val="20"/>
          <w:szCs w:val="20"/>
        </w:rPr>
      </w:pPr>
    </w:p>
    <w:p w14:paraId="1169999C" w14:textId="77777777" w:rsidR="00620656" w:rsidRPr="006406AC" w:rsidRDefault="00620656" w:rsidP="00620656">
      <w:pPr>
        <w:widowControl/>
        <w:numPr>
          <w:ilvl w:val="0"/>
          <w:numId w:val="3"/>
        </w:numPr>
        <w:autoSpaceDE/>
        <w:autoSpaceDN/>
        <w:jc w:val="both"/>
        <w:rPr>
          <w:rFonts w:ascii="Arial" w:hAnsi="Arial" w:cs="Arial"/>
          <w:b/>
          <w:sz w:val="20"/>
          <w:szCs w:val="20"/>
          <w:u w:val="single"/>
        </w:rPr>
      </w:pPr>
      <w:r w:rsidRPr="006406AC">
        <w:rPr>
          <w:rFonts w:ascii="Arial" w:hAnsi="Arial" w:cs="Arial"/>
          <w:b/>
          <w:sz w:val="20"/>
          <w:szCs w:val="20"/>
          <w:u w:val="single"/>
        </w:rPr>
        <w:t>Selling Options</w:t>
      </w:r>
    </w:p>
    <w:p w14:paraId="1B36B85C" w14:textId="77777777" w:rsidR="00620656" w:rsidRPr="006406AC" w:rsidRDefault="00620656" w:rsidP="00620656">
      <w:pPr>
        <w:ind w:left="360"/>
        <w:jc w:val="both"/>
        <w:rPr>
          <w:rFonts w:ascii="Arial" w:hAnsi="Arial" w:cs="Arial"/>
          <w:sz w:val="20"/>
          <w:szCs w:val="20"/>
        </w:rPr>
      </w:pPr>
      <w:r w:rsidRPr="006406AC">
        <w:rPr>
          <w:rFonts w:ascii="Arial" w:hAnsi="Arial" w:cs="Arial"/>
          <w:sz w:val="20"/>
          <w:szCs w:val="20"/>
        </w:rPr>
        <w:t xml:space="preserve">Selling an option contract generally entails considerably greater risk than buying an option contract. Although the seller receives the option premium, he may incur a loss substantially greater than that amount (possibly unlimited) if the market moves </w:t>
      </w:r>
      <w:proofErr w:type="spellStart"/>
      <w:r w:rsidRPr="006406AC">
        <w:rPr>
          <w:rFonts w:ascii="Arial" w:hAnsi="Arial" w:cs="Arial"/>
          <w:sz w:val="20"/>
          <w:szCs w:val="20"/>
        </w:rPr>
        <w:t>unfavourably</w:t>
      </w:r>
      <w:proofErr w:type="spellEnd"/>
      <w:r w:rsidRPr="006406AC">
        <w:rPr>
          <w:rFonts w:ascii="Arial" w:hAnsi="Arial" w:cs="Arial"/>
          <w:sz w:val="20"/>
          <w:szCs w:val="20"/>
        </w:rPr>
        <w:t xml:space="preserve">. At the same time, in this scenario, the seller is liable for additional margin and consequential liquidation of his position if a margin call is not met within the specified time. As noted in Paragraph 6 above, if the buyer exercises the option the seller will acquire a commodity futures contract with associated liabilities and risks. </w:t>
      </w:r>
    </w:p>
    <w:p w14:paraId="1D4B6E3A" w14:textId="77777777" w:rsidR="00620656" w:rsidRPr="006406AC" w:rsidRDefault="00620656" w:rsidP="00620656">
      <w:pPr>
        <w:ind w:left="360"/>
        <w:jc w:val="both"/>
        <w:rPr>
          <w:rFonts w:ascii="Arial" w:hAnsi="Arial" w:cs="Arial"/>
          <w:sz w:val="20"/>
          <w:szCs w:val="20"/>
        </w:rPr>
      </w:pPr>
    </w:p>
    <w:p w14:paraId="71D06183" w14:textId="77777777" w:rsidR="00620656" w:rsidRPr="006406AC" w:rsidRDefault="00620656" w:rsidP="00620656">
      <w:pPr>
        <w:ind w:left="360"/>
        <w:jc w:val="both"/>
        <w:rPr>
          <w:rFonts w:ascii="Arial" w:hAnsi="Arial" w:cs="Arial"/>
          <w:sz w:val="20"/>
          <w:szCs w:val="20"/>
        </w:rPr>
      </w:pPr>
      <w:r w:rsidRPr="006406AC">
        <w:rPr>
          <w:rFonts w:ascii="Arial" w:hAnsi="Arial" w:cs="Arial"/>
          <w:sz w:val="20"/>
          <w:szCs w:val="20"/>
        </w:rPr>
        <w:t>European Options are only allowed to be exercised on the last day of the Option contract, such options are riskier when illiquid than American Options which are allowed to be exercised on any business day on or prior to the last trading day of the Option contract.</w:t>
      </w:r>
    </w:p>
    <w:p w14:paraId="6239D281" w14:textId="77777777" w:rsidR="00620656" w:rsidRPr="006406AC" w:rsidRDefault="00620656" w:rsidP="00620656">
      <w:pPr>
        <w:ind w:left="360"/>
        <w:jc w:val="both"/>
        <w:rPr>
          <w:rFonts w:ascii="Arial" w:hAnsi="Arial" w:cs="Arial"/>
          <w:sz w:val="20"/>
          <w:szCs w:val="20"/>
        </w:rPr>
      </w:pPr>
    </w:p>
    <w:p w14:paraId="5F4D78B3" w14:textId="77777777" w:rsidR="00620656" w:rsidRPr="006406AC" w:rsidRDefault="00620656" w:rsidP="00620656">
      <w:pPr>
        <w:ind w:left="720"/>
        <w:jc w:val="both"/>
        <w:rPr>
          <w:rFonts w:ascii="Arial" w:hAnsi="Arial" w:cs="Arial"/>
          <w:sz w:val="20"/>
          <w:szCs w:val="20"/>
        </w:rPr>
      </w:pPr>
    </w:p>
    <w:p w14:paraId="3A1C6310" w14:textId="77777777" w:rsidR="00620656" w:rsidRPr="006406AC" w:rsidRDefault="00620656" w:rsidP="00620656">
      <w:pPr>
        <w:tabs>
          <w:tab w:val="left" w:pos="0"/>
        </w:tabs>
        <w:rPr>
          <w:rFonts w:ascii="Arial" w:hAnsi="Arial" w:cs="Arial"/>
          <w:b/>
          <w:iCs/>
          <w:sz w:val="20"/>
          <w:szCs w:val="20"/>
          <w:u w:val="single"/>
        </w:rPr>
      </w:pPr>
      <w:r w:rsidRPr="006406AC">
        <w:rPr>
          <w:rFonts w:ascii="Arial" w:hAnsi="Arial" w:cs="Arial"/>
          <w:b/>
          <w:iCs/>
          <w:sz w:val="20"/>
          <w:szCs w:val="20"/>
          <w:u w:val="single"/>
        </w:rPr>
        <w:t>Additional Risks Common to Both Futures and Options</w:t>
      </w:r>
    </w:p>
    <w:p w14:paraId="6E113633" w14:textId="77777777" w:rsidR="00620656" w:rsidRPr="006406AC" w:rsidRDefault="00620656" w:rsidP="00620656">
      <w:pPr>
        <w:jc w:val="both"/>
        <w:rPr>
          <w:rFonts w:ascii="Arial" w:hAnsi="Arial" w:cs="Arial"/>
          <w:b/>
          <w:sz w:val="20"/>
          <w:szCs w:val="20"/>
        </w:rPr>
      </w:pPr>
    </w:p>
    <w:p w14:paraId="2559371E" w14:textId="77777777" w:rsidR="00620656" w:rsidRPr="006406AC" w:rsidRDefault="00620656" w:rsidP="00620656">
      <w:pPr>
        <w:widowControl/>
        <w:numPr>
          <w:ilvl w:val="0"/>
          <w:numId w:val="3"/>
        </w:numPr>
        <w:autoSpaceDE/>
        <w:autoSpaceDN/>
        <w:jc w:val="both"/>
        <w:rPr>
          <w:rFonts w:ascii="Arial" w:hAnsi="Arial" w:cs="Arial"/>
          <w:b/>
          <w:sz w:val="20"/>
          <w:szCs w:val="20"/>
          <w:u w:val="single"/>
        </w:rPr>
      </w:pPr>
      <w:r w:rsidRPr="006406AC">
        <w:rPr>
          <w:rFonts w:ascii="Arial" w:hAnsi="Arial" w:cs="Arial"/>
          <w:b/>
          <w:sz w:val="20"/>
          <w:szCs w:val="20"/>
          <w:u w:val="single"/>
        </w:rPr>
        <w:t>Contract Terms and Conditions</w:t>
      </w:r>
    </w:p>
    <w:p w14:paraId="6AA445A6" w14:textId="77777777" w:rsidR="00620656" w:rsidRPr="006406AC" w:rsidRDefault="00620656" w:rsidP="00620656">
      <w:pPr>
        <w:ind w:left="360"/>
        <w:jc w:val="both"/>
        <w:rPr>
          <w:rFonts w:ascii="Arial" w:hAnsi="Arial" w:cs="Arial"/>
          <w:sz w:val="20"/>
          <w:szCs w:val="20"/>
        </w:rPr>
      </w:pPr>
      <w:r w:rsidRPr="006406AC">
        <w:rPr>
          <w:rFonts w:ascii="Arial" w:hAnsi="Arial" w:cs="Arial"/>
          <w:sz w:val="20"/>
          <w:szCs w:val="20"/>
        </w:rPr>
        <w:t>You should ask your broker to provide you with information about the terms and conditions of the specific DGCX commodity futures or options contracts that you propose to trade and any associated obligations, such as the circumstances under which you may be obliged to make or receive delivery of the underlying commodity (especially were you to keep naked long or short open positions in a contract when it enters into the tender period)</w:t>
      </w:r>
      <w:r w:rsidRPr="006406AC">
        <w:rPr>
          <w:rFonts w:ascii="Arial" w:hAnsi="Arial" w:cs="Arial"/>
          <w:b/>
          <w:i/>
          <w:sz w:val="20"/>
          <w:szCs w:val="20"/>
        </w:rPr>
        <w:t xml:space="preserve"> </w:t>
      </w:r>
      <w:r w:rsidRPr="006406AC">
        <w:rPr>
          <w:rFonts w:ascii="Arial" w:hAnsi="Arial" w:cs="Arial"/>
          <w:sz w:val="20"/>
          <w:szCs w:val="20"/>
        </w:rPr>
        <w:t>or, in the case of options, the declaration date.</w:t>
      </w:r>
    </w:p>
    <w:p w14:paraId="3B10E3A5" w14:textId="77777777" w:rsidR="00620656" w:rsidRPr="006406AC" w:rsidRDefault="00620656" w:rsidP="00620656">
      <w:pPr>
        <w:jc w:val="both"/>
        <w:rPr>
          <w:rFonts w:ascii="Arial" w:hAnsi="Arial" w:cs="Arial"/>
          <w:sz w:val="20"/>
          <w:szCs w:val="20"/>
        </w:rPr>
      </w:pPr>
    </w:p>
    <w:p w14:paraId="11FA11D4" w14:textId="77777777" w:rsidR="00620656" w:rsidRPr="006406AC" w:rsidRDefault="00620656" w:rsidP="00620656">
      <w:pPr>
        <w:widowControl/>
        <w:numPr>
          <w:ilvl w:val="0"/>
          <w:numId w:val="3"/>
        </w:numPr>
        <w:autoSpaceDE/>
        <w:autoSpaceDN/>
        <w:jc w:val="both"/>
        <w:rPr>
          <w:rFonts w:ascii="Arial" w:hAnsi="Arial" w:cs="Arial"/>
          <w:b/>
          <w:sz w:val="20"/>
          <w:szCs w:val="20"/>
        </w:rPr>
      </w:pPr>
      <w:r w:rsidRPr="006406AC">
        <w:rPr>
          <w:rFonts w:ascii="Arial" w:hAnsi="Arial" w:cs="Arial"/>
          <w:b/>
          <w:sz w:val="20"/>
          <w:szCs w:val="20"/>
          <w:u w:val="single"/>
        </w:rPr>
        <w:t>Suspension or Restriction of Trading</w:t>
      </w:r>
    </w:p>
    <w:p w14:paraId="7E2F8DA0" w14:textId="650CA1B1" w:rsidR="00620656" w:rsidRPr="006406AC" w:rsidRDefault="00620656" w:rsidP="009568D7">
      <w:pPr>
        <w:ind w:left="360"/>
        <w:jc w:val="both"/>
        <w:rPr>
          <w:rFonts w:ascii="Arial" w:hAnsi="Arial" w:cs="Arial"/>
          <w:sz w:val="20"/>
          <w:szCs w:val="20"/>
        </w:rPr>
      </w:pPr>
      <w:r w:rsidRPr="006406AC">
        <w:rPr>
          <w:rFonts w:ascii="Arial" w:hAnsi="Arial" w:cs="Arial"/>
          <w:sz w:val="20"/>
          <w:szCs w:val="20"/>
        </w:rPr>
        <w:t xml:space="preserve">Sometimes it may not be possible for an open futures or options position to be closed out, even at a loss. This may be due to market illiquidity or because of the operation of DGCX rules relating to limit moves or “circuit breakers”. </w:t>
      </w:r>
    </w:p>
    <w:p w14:paraId="01592492" w14:textId="77777777" w:rsidR="00620656" w:rsidRPr="006406AC" w:rsidRDefault="00620656" w:rsidP="00620656">
      <w:pPr>
        <w:widowControl/>
        <w:numPr>
          <w:ilvl w:val="0"/>
          <w:numId w:val="3"/>
        </w:numPr>
        <w:autoSpaceDE/>
        <w:autoSpaceDN/>
        <w:jc w:val="both"/>
        <w:rPr>
          <w:rFonts w:ascii="Arial" w:hAnsi="Arial" w:cs="Arial"/>
          <w:b/>
          <w:sz w:val="20"/>
          <w:szCs w:val="20"/>
        </w:rPr>
      </w:pPr>
      <w:r w:rsidRPr="006406AC">
        <w:rPr>
          <w:rFonts w:ascii="Arial" w:hAnsi="Arial" w:cs="Arial"/>
          <w:b/>
          <w:sz w:val="20"/>
          <w:szCs w:val="20"/>
          <w:u w:val="single"/>
        </w:rPr>
        <w:t>Electronic Trading</w:t>
      </w:r>
    </w:p>
    <w:p w14:paraId="53DCA8D0" w14:textId="77777777" w:rsidR="00620656" w:rsidRPr="006406AC" w:rsidRDefault="00620656" w:rsidP="00620656">
      <w:pPr>
        <w:ind w:left="360"/>
        <w:jc w:val="both"/>
        <w:rPr>
          <w:rFonts w:ascii="Arial" w:hAnsi="Arial" w:cs="Arial"/>
          <w:sz w:val="20"/>
          <w:szCs w:val="20"/>
        </w:rPr>
      </w:pPr>
      <w:r w:rsidRPr="006406AC">
        <w:rPr>
          <w:rFonts w:ascii="Arial" w:hAnsi="Arial" w:cs="Arial"/>
          <w:sz w:val="20"/>
          <w:szCs w:val="20"/>
        </w:rPr>
        <w:lastRenderedPageBreak/>
        <w:t xml:space="preserve">Trading on DGCX occurs on an electronic trading system. As a </w:t>
      </w:r>
      <w:proofErr w:type="gramStart"/>
      <w:r w:rsidRPr="006406AC">
        <w:rPr>
          <w:rFonts w:ascii="Arial" w:hAnsi="Arial" w:cs="Arial"/>
          <w:sz w:val="20"/>
          <w:szCs w:val="20"/>
        </w:rPr>
        <w:t>result</w:t>
      </w:r>
      <w:proofErr w:type="gramEnd"/>
      <w:r w:rsidRPr="006406AC">
        <w:rPr>
          <w:rFonts w:ascii="Arial" w:hAnsi="Arial" w:cs="Arial"/>
          <w:sz w:val="20"/>
          <w:szCs w:val="20"/>
        </w:rPr>
        <w:t xml:space="preserve"> you are exposed to risks associated with failure of hardware, software or communications systems. The result of any of these failures may be that your order is not executed in accordance with your instructions </w:t>
      </w:r>
      <w:proofErr w:type="gramStart"/>
      <w:r w:rsidRPr="006406AC">
        <w:rPr>
          <w:rFonts w:ascii="Arial" w:hAnsi="Arial" w:cs="Arial"/>
          <w:sz w:val="20"/>
          <w:szCs w:val="20"/>
        </w:rPr>
        <w:t>or,</w:t>
      </w:r>
      <w:proofErr w:type="gramEnd"/>
      <w:r w:rsidRPr="006406AC">
        <w:rPr>
          <w:rFonts w:ascii="Arial" w:hAnsi="Arial" w:cs="Arial"/>
          <w:sz w:val="20"/>
          <w:szCs w:val="20"/>
        </w:rPr>
        <w:t xml:space="preserve"> is not executed at all. Your losses may be greater if the brokerage firm carrying your position does not have adequate back-up systems or procedures.</w:t>
      </w:r>
    </w:p>
    <w:p w14:paraId="5345211C" w14:textId="77777777" w:rsidR="00620656" w:rsidRPr="006406AC" w:rsidRDefault="00620656" w:rsidP="00620656">
      <w:pPr>
        <w:jc w:val="both"/>
        <w:rPr>
          <w:rFonts w:ascii="Arial" w:hAnsi="Arial" w:cs="Arial"/>
          <w:sz w:val="20"/>
          <w:szCs w:val="20"/>
          <w:u w:val="single"/>
        </w:rPr>
      </w:pPr>
    </w:p>
    <w:p w14:paraId="1E14038B" w14:textId="77777777" w:rsidR="00620656" w:rsidRPr="006406AC" w:rsidRDefault="00620656" w:rsidP="00620656">
      <w:pPr>
        <w:widowControl/>
        <w:numPr>
          <w:ilvl w:val="0"/>
          <w:numId w:val="3"/>
        </w:numPr>
        <w:autoSpaceDE/>
        <w:autoSpaceDN/>
        <w:jc w:val="both"/>
        <w:rPr>
          <w:rFonts w:ascii="Arial" w:hAnsi="Arial" w:cs="Arial"/>
          <w:b/>
          <w:sz w:val="20"/>
          <w:szCs w:val="20"/>
          <w:u w:val="single"/>
        </w:rPr>
      </w:pPr>
      <w:r w:rsidRPr="006406AC">
        <w:rPr>
          <w:rFonts w:ascii="Arial" w:hAnsi="Arial" w:cs="Arial"/>
          <w:b/>
          <w:sz w:val="20"/>
          <w:szCs w:val="20"/>
          <w:u w:val="single"/>
        </w:rPr>
        <w:t>Deposited Cash or Collateral</w:t>
      </w:r>
    </w:p>
    <w:p w14:paraId="00D8B335" w14:textId="77777777" w:rsidR="00620656" w:rsidRPr="006406AC" w:rsidRDefault="00620656" w:rsidP="00620656">
      <w:pPr>
        <w:ind w:left="360"/>
        <w:jc w:val="both"/>
        <w:rPr>
          <w:rFonts w:ascii="Arial" w:hAnsi="Arial" w:cs="Arial"/>
          <w:sz w:val="20"/>
          <w:szCs w:val="20"/>
        </w:rPr>
      </w:pPr>
      <w:r w:rsidRPr="006406AC">
        <w:rPr>
          <w:rFonts w:ascii="Arial" w:hAnsi="Arial" w:cs="Arial"/>
          <w:sz w:val="20"/>
          <w:szCs w:val="20"/>
        </w:rPr>
        <w:t xml:space="preserve">DGCX rules oblige a Broker Member to provide some </w:t>
      </w:r>
      <w:proofErr w:type="gramStart"/>
      <w:r w:rsidRPr="006406AC">
        <w:rPr>
          <w:rFonts w:ascii="Arial" w:hAnsi="Arial" w:cs="Arial"/>
          <w:sz w:val="20"/>
          <w:szCs w:val="20"/>
        </w:rPr>
        <w:t>protections</w:t>
      </w:r>
      <w:proofErr w:type="gramEnd"/>
      <w:r w:rsidRPr="006406AC">
        <w:rPr>
          <w:rFonts w:ascii="Arial" w:hAnsi="Arial" w:cs="Arial"/>
          <w:sz w:val="20"/>
          <w:szCs w:val="20"/>
        </w:rPr>
        <w:t xml:space="preserve"> for cash and collateral deposited with the Broker. Nevertheless, particularly in the event of insolvency or </w:t>
      </w:r>
      <w:proofErr w:type="gramStart"/>
      <w:r w:rsidRPr="006406AC">
        <w:rPr>
          <w:rFonts w:ascii="Arial" w:hAnsi="Arial" w:cs="Arial"/>
          <w:sz w:val="20"/>
          <w:szCs w:val="20"/>
        </w:rPr>
        <w:t>bankruptcy</w:t>
      </w:r>
      <w:proofErr w:type="gramEnd"/>
      <w:r w:rsidRPr="006406AC">
        <w:rPr>
          <w:rFonts w:ascii="Arial" w:hAnsi="Arial" w:cs="Arial"/>
          <w:sz w:val="20"/>
          <w:szCs w:val="20"/>
        </w:rPr>
        <w:t xml:space="preserve"> these protections may not apply. In such cases the extent to which you may recover such cash or collateral will depend on relevant legislation in the jurisdiction in which you deal with the Broker. However, you will not have any direct recourse to DGCX/DCCC for recovery in such circumstances.</w:t>
      </w:r>
    </w:p>
    <w:p w14:paraId="145FA537" w14:textId="77777777" w:rsidR="00620656" w:rsidRPr="006406AC" w:rsidRDefault="00620656" w:rsidP="00620656">
      <w:pPr>
        <w:jc w:val="both"/>
        <w:rPr>
          <w:rFonts w:ascii="Arial" w:hAnsi="Arial" w:cs="Arial"/>
          <w:sz w:val="20"/>
          <w:szCs w:val="20"/>
        </w:rPr>
      </w:pPr>
    </w:p>
    <w:p w14:paraId="3451E1DC" w14:textId="77777777" w:rsidR="00620656" w:rsidRPr="006406AC" w:rsidRDefault="00620656" w:rsidP="00620656">
      <w:pPr>
        <w:widowControl/>
        <w:numPr>
          <w:ilvl w:val="0"/>
          <w:numId w:val="3"/>
        </w:numPr>
        <w:autoSpaceDE/>
        <w:autoSpaceDN/>
        <w:jc w:val="both"/>
        <w:rPr>
          <w:rFonts w:ascii="Arial" w:hAnsi="Arial" w:cs="Arial"/>
          <w:b/>
          <w:sz w:val="20"/>
          <w:szCs w:val="20"/>
          <w:u w:val="single"/>
        </w:rPr>
      </w:pPr>
      <w:r w:rsidRPr="006406AC">
        <w:rPr>
          <w:rFonts w:ascii="Arial" w:hAnsi="Arial" w:cs="Arial"/>
          <w:b/>
          <w:sz w:val="20"/>
          <w:szCs w:val="20"/>
          <w:u w:val="single"/>
        </w:rPr>
        <w:t>Commissions and Other Charges</w:t>
      </w:r>
    </w:p>
    <w:p w14:paraId="445280B6" w14:textId="77777777" w:rsidR="00620656" w:rsidRPr="006406AC" w:rsidRDefault="00620656" w:rsidP="006406AC">
      <w:pPr>
        <w:ind w:left="360"/>
        <w:jc w:val="both"/>
        <w:rPr>
          <w:rFonts w:ascii="Arial" w:hAnsi="Arial" w:cs="Arial"/>
          <w:sz w:val="20"/>
          <w:szCs w:val="20"/>
        </w:rPr>
      </w:pPr>
      <w:r w:rsidRPr="006406AC">
        <w:rPr>
          <w:rFonts w:ascii="Arial" w:hAnsi="Arial" w:cs="Arial"/>
          <w:sz w:val="20"/>
          <w:szCs w:val="20"/>
        </w:rPr>
        <w:t xml:space="preserve">Before </w:t>
      </w:r>
      <w:proofErr w:type="gramStart"/>
      <w:r w:rsidRPr="006406AC">
        <w:rPr>
          <w:rFonts w:ascii="Arial" w:hAnsi="Arial" w:cs="Arial"/>
          <w:sz w:val="20"/>
          <w:szCs w:val="20"/>
        </w:rPr>
        <w:t>commencing to</w:t>
      </w:r>
      <w:proofErr w:type="gramEnd"/>
      <w:r w:rsidRPr="006406AC">
        <w:rPr>
          <w:rFonts w:ascii="Arial" w:hAnsi="Arial" w:cs="Arial"/>
          <w:sz w:val="20"/>
          <w:szCs w:val="20"/>
        </w:rPr>
        <w:t xml:space="preserve"> trade, you should obtain a clear explanation of all commissions, </w:t>
      </w:r>
      <w:proofErr w:type="gramStart"/>
      <w:r w:rsidRPr="006406AC">
        <w:rPr>
          <w:rFonts w:ascii="Arial" w:hAnsi="Arial" w:cs="Arial"/>
          <w:sz w:val="20"/>
          <w:szCs w:val="20"/>
        </w:rPr>
        <w:t>fees</w:t>
      </w:r>
      <w:proofErr w:type="gramEnd"/>
      <w:r w:rsidRPr="006406AC">
        <w:rPr>
          <w:rFonts w:ascii="Arial" w:hAnsi="Arial" w:cs="Arial"/>
          <w:sz w:val="20"/>
          <w:szCs w:val="20"/>
        </w:rPr>
        <w:t xml:space="preserve"> and other charges for which you will be liable. These charges will be payable regardless of the outcome of your </w:t>
      </w:r>
      <w:proofErr w:type="gramStart"/>
      <w:r w:rsidRPr="006406AC">
        <w:rPr>
          <w:rFonts w:ascii="Arial" w:hAnsi="Arial" w:cs="Arial"/>
          <w:sz w:val="20"/>
          <w:szCs w:val="20"/>
        </w:rPr>
        <w:t>trading, and</w:t>
      </w:r>
      <w:proofErr w:type="gramEnd"/>
      <w:r w:rsidRPr="006406AC">
        <w:rPr>
          <w:rFonts w:ascii="Arial" w:hAnsi="Arial" w:cs="Arial"/>
          <w:sz w:val="20"/>
          <w:szCs w:val="20"/>
        </w:rPr>
        <w:t xml:space="preserve"> will decrease your net profit or increase your loss.</w:t>
      </w:r>
    </w:p>
    <w:p w14:paraId="2C20A8C3" w14:textId="77777777" w:rsidR="00620656" w:rsidRPr="006406AC" w:rsidRDefault="00620656" w:rsidP="00620656">
      <w:pPr>
        <w:jc w:val="both"/>
        <w:rPr>
          <w:rFonts w:ascii="Arial" w:hAnsi="Arial" w:cs="Arial"/>
          <w:sz w:val="20"/>
          <w:szCs w:val="20"/>
        </w:rPr>
      </w:pPr>
    </w:p>
    <w:p w14:paraId="7BF70C84" w14:textId="77777777" w:rsidR="00620656" w:rsidRPr="006406AC" w:rsidRDefault="00620656" w:rsidP="00620656">
      <w:pPr>
        <w:widowControl/>
        <w:numPr>
          <w:ilvl w:val="0"/>
          <w:numId w:val="3"/>
        </w:numPr>
        <w:autoSpaceDE/>
        <w:autoSpaceDN/>
        <w:jc w:val="both"/>
        <w:rPr>
          <w:rFonts w:ascii="Arial" w:hAnsi="Arial" w:cs="Arial"/>
          <w:b/>
          <w:sz w:val="20"/>
          <w:szCs w:val="20"/>
        </w:rPr>
      </w:pPr>
      <w:r w:rsidRPr="006406AC">
        <w:rPr>
          <w:rFonts w:ascii="Arial" w:hAnsi="Arial" w:cs="Arial"/>
          <w:b/>
          <w:sz w:val="20"/>
          <w:szCs w:val="20"/>
          <w:u w:val="single"/>
        </w:rPr>
        <w:t>Currency Risks</w:t>
      </w:r>
    </w:p>
    <w:p w14:paraId="4FA80F53" w14:textId="77777777" w:rsidR="00620656" w:rsidRPr="006406AC" w:rsidRDefault="00620656" w:rsidP="00620656">
      <w:pPr>
        <w:ind w:left="360"/>
        <w:jc w:val="both"/>
        <w:rPr>
          <w:rFonts w:ascii="Arial" w:hAnsi="Arial" w:cs="Arial"/>
          <w:sz w:val="20"/>
          <w:szCs w:val="20"/>
        </w:rPr>
      </w:pPr>
      <w:r w:rsidRPr="006406AC">
        <w:rPr>
          <w:rFonts w:ascii="Arial" w:hAnsi="Arial" w:cs="Arial"/>
          <w:sz w:val="20"/>
          <w:szCs w:val="20"/>
        </w:rPr>
        <w:t xml:space="preserve">All futures and options contracts traded on DGCX are settled in US dollars. If the asset base or income stream that you are using to support your DGCX trading is denominated in any other currency, you effectively have </w:t>
      </w:r>
      <w:proofErr w:type="gramStart"/>
      <w:r w:rsidRPr="006406AC">
        <w:rPr>
          <w:rFonts w:ascii="Arial" w:hAnsi="Arial" w:cs="Arial"/>
          <w:sz w:val="20"/>
          <w:szCs w:val="20"/>
        </w:rPr>
        <w:t>an exposure</w:t>
      </w:r>
      <w:proofErr w:type="gramEnd"/>
      <w:r w:rsidRPr="006406AC">
        <w:rPr>
          <w:rFonts w:ascii="Arial" w:hAnsi="Arial" w:cs="Arial"/>
          <w:sz w:val="20"/>
          <w:szCs w:val="20"/>
        </w:rPr>
        <w:t xml:space="preserve"> to fluctuations in exchange rates.</w:t>
      </w:r>
    </w:p>
    <w:p w14:paraId="7D60C83A" w14:textId="77777777" w:rsidR="00620656" w:rsidRPr="006406AC" w:rsidRDefault="00620656" w:rsidP="00620656">
      <w:pPr>
        <w:jc w:val="both"/>
        <w:rPr>
          <w:rFonts w:ascii="Arial" w:hAnsi="Arial" w:cs="Arial"/>
          <w:sz w:val="20"/>
          <w:szCs w:val="20"/>
        </w:rPr>
      </w:pPr>
    </w:p>
    <w:p w14:paraId="04EE5A8D" w14:textId="77777777" w:rsidR="00620656" w:rsidRPr="006406AC" w:rsidRDefault="00620656" w:rsidP="00620656">
      <w:pPr>
        <w:tabs>
          <w:tab w:val="left" w:pos="0"/>
        </w:tabs>
        <w:rPr>
          <w:rFonts w:ascii="Arial" w:hAnsi="Arial" w:cs="Arial"/>
          <w:b/>
          <w:iCs/>
          <w:sz w:val="20"/>
          <w:szCs w:val="20"/>
          <w:u w:val="single"/>
        </w:rPr>
      </w:pPr>
      <w:r w:rsidRPr="006406AC">
        <w:rPr>
          <w:rFonts w:ascii="Arial" w:hAnsi="Arial" w:cs="Arial"/>
          <w:b/>
          <w:iCs/>
          <w:sz w:val="20"/>
          <w:szCs w:val="20"/>
          <w:u w:val="single"/>
        </w:rPr>
        <w:t>Additional Risks Related to Trading of Single Stock Futures</w:t>
      </w:r>
    </w:p>
    <w:p w14:paraId="471481E7" w14:textId="77777777" w:rsidR="00620656" w:rsidRPr="006406AC" w:rsidRDefault="00620656" w:rsidP="00620656">
      <w:pPr>
        <w:ind w:left="720"/>
        <w:jc w:val="center"/>
        <w:rPr>
          <w:rFonts w:ascii="Arial" w:hAnsi="Arial" w:cs="Arial"/>
          <w:b/>
          <w:i/>
          <w:sz w:val="20"/>
          <w:szCs w:val="20"/>
          <w:u w:val="single"/>
        </w:rPr>
      </w:pPr>
    </w:p>
    <w:p w14:paraId="78C85AF9" w14:textId="77777777" w:rsidR="00620656" w:rsidRPr="006406AC" w:rsidRDefault="00620656" w:rsidP="00620656">
      <w:pPr>
        <w:pStyle w:val="ListParagraph"/>
        <w:widowControl/>
        <w:numPr>
          <w:ilvl w:val="0"/>
          <w:numId w:val="3"/>
        </w:numPr>
        <w:autoSpaceDE/>
        <w:autoSpaceDN/>
        <w:contextualSpacing/>
        <w:rPr>
          <w:rFonts w:ascii="Arial" w:hAnsi="Arial" w:cs="Arial"/>
          <w:b/>
          <w:sz w:val="20"/>
          <w:szCs w:val="20"/>
          <w:u w:val="single"/>
        </w:rPr>
      </w:pPr>
      <w:r w:rsidRPr="006406AC">
        <w:rPr>
          <w:rFonts w:ascii="Arial" w:hAnsi="Arial" w:cs="Arial"/>
          <w:b/>
          <w:sz w:val="20"/>
          <w:szCs w:val="20"/>
          <w:u w:val="single"/>
        </w:rPr>
        <w:t>Single Stock Future (SSF) Risk</w:t>
      </w:r>
    </w:p>
    <w:p w14:paraId="3956FD6A" w14:textId="77777777" w:rsidR="00620656" w:rsidRPr="006406AC" w:rsidRDefault="00620656" w:rsidP="00620656">
      <w:pPr>
        <w:pStyle w:val="ListParagraph"/>
        <w:ind w:left="360"/>
        <w:jc w:val="both"/>
        <w:rPr>
          <w:rFonts w:ascii="Arial" w:eastAsia="Times New Roman" w:hAnsi="Arial" w:cs="Arial"/>
          <w:sz w:val="20"/>
          <w:szCs w:val="20"/>
          <w:lang w:val="en-GB"/>
        </w:rPr>
      </w:pPr>
      <w:r w:rsidRPr="006406AC">
        <w:rPr>
          <w:rFonts w:ascii="Arial" w:eastAsia="Times New Roman" w:hAnsi="Arial" w:cs="Arial"/>
          <w:sz w:val="20"/>
          <w:szCs w:val="20"/>
          <w:lang w:val="en-GB"/>
        </w:rPr>
        <w:t>DGCX does not list or trade cash equities as primary exchange. The underlying equity to the Single Stock Futures will be listed in the underlying country which could potentially lead to additional risk elements which should be carefully considered before engaging in trading the SSF contracts.</w:t>
      </w:r>
    </w:p>
    <w:p w14:paraId="5944A831" w14:textId="77777777" w:rsidR="00620656" w:rsidRPr="006406AC" w:rsidRDefault="00620656" w:rsidP="00620656">
      <w:pPr>
        <w:pStyle w:val="ListParagraph"/>
        <w:ind w:left="360"/>
        <w:rPr>
          <w:rFonts w:ascii="Arial" w:hAnsi="Arial" w:cs="Arial"/>
          <w:sz w:val="20"/>
          <w:szCs w:val="20"/>
        </w:rPr>
      </w:pPr>
    </w:p>
    <w:p w14:paraId="39F55417" w14:textId="77777777" w:rsidR="00620656" w:rsidRPr="006406AC" w:rsidRDefault="00620656" w:rsidP="00620656">
      <w:pPr>
        <w:pStyle w:val="ListParagraph"/>
        <w:widowControl/>
        <w:numPr>
          <w:ilvl w:val="0"/>
          <w:numId w:val="3"/>
        </w:numPr>
        <w:autoSpaceDE/>
        <w:autoSpaceDN/>
        <w:contextualSpacing/>
        <w:rPr>
          <w:rFonts w:ascii="Arial" w:hAnsi="Arial" w:cs="Arial"/>
          <w:b/>
          <w:sz w:val="20"/>
          <w:szCs w:val="20"/>
          <w:u w:val="single"/>
        </w:rPr>
      </w:pPr>
      <w:r w:rsidRPr="006406AC">
        <w:rPr>
          <w:rFonts w:ascii="Arial" w:hAnsi="Arial" w:cs="Arial"/>
          <w:b/>
          <w:sz w:val="20"/>
          <w:szCs w:val="20"/>
          <w:u w:val="single"/>
        </w:rPr>
        <w:t>Pricing Disparities</w:t>
      </w:r>
    </w:p>
    <w:p w14:paraId="13A7CC9A" w14:textId="77777777" w:rsidR="00620656" w:rsidRPr="006406AC" w:rsidRDefault="00620656" w:rsidP="00620656">
      <w:pPr>
        <w:pStyle w:val="ListParagraph"/>
        <w:ind w:left="360"/>
        <w:jc w:val="both"/>
        <w:rPr>
          <w:rFonts w:ascii="Arial" w:eastAsia="Times New Roman" w:hAnsi="Arial" w:cs="Arial"/>
          <w:sz w:val="20"/>
          <w:szCs w:val="20"/>
          <w:lang w:val="en-GB"/>
        </w:rPr>
      </w:pPr>
      <w:r w:rsidRPr="006406AC">
        <w:rPr>
          <w:rFonts w:ascii="Arial" w:eastAsia="Times New Roman" w:hAnsi="Arial" w:cs="Arial"/>
          <w:sz w:val="20"/>
          <w:szCs w:val="20"/>
          <w:lang w:val="en-GB"/>
        </w:rPr>
        <w:t>Client is aware of the risks associated with delays in disclosure information wherein under certain market conditions; the prices of SSF Contracts on DGCX may not maintain their expected relationships to its underlying security prices. These pricing disparities could occur due to a variety of reasons and have an impact of both positions and active orders in SSF Contracts. These conditions include but are not limited to:</w:t>
      </w:r>
    </w:p>
    <w:p w14:paraId="2760E60C" w14:textId="77777777" w:rsidR="00620656" w:rsidRPr="006406AC" w:rsidRDefault="00620656" w:rsidP="00620656">
      <w:pPr>
        <w:pStyle w:val="ListParagraph"/>
        <w:widowControl/>
        <w:numPr>
          <w:ilvl w:val="1"/>
          <w:numId w:val="4"/>
        </w:numPr>
        <w:autoSpaceDE/>
        <w:autoSpaceDN/>
        <w:spacing w:before="34"/>
        <w:ind w:left="720" w:right="67"/>
        <w:contextualSpacing/>
        <w:jc w:val="both"/>
        <w:rPr>
          <w:rFonts w:ascii="Arial" w:eastAsia="Times New Roman" w:hAnsi="Arial" w:cs="Arial"/>
          <w:sz w:val="20"/>
          <w:szCs w:val="20"/>
          <w:lang w:val="en-GB"/>
        </w:rPr>
      </w:pPr>
      <w:r w:rsidRPr="006406AC">
        <w:rPr>
          <w:rFonts w:ascii="Arial" w:eastAsia="Times New Roman" w:hAnsi="Arial" w:cs="Arial"/>
          <w:sz w:val="20"/>
          <w:szCs w:val="20"/>
          <w:lang w:val="en-GB"/>
        </w:rPr>
        <w:t xml:space="preserve">delay in the information availability about the corporate action announcement or associated price-sensitive news in the underlying security,  </w:t>
      </w:r>
    </w:p>
    <w:p w14:paraId="4B661361" w14:textId="77777777" w:rsidR="00620656" w:rsidRPr="006406AC" w:rsidRDefault="00620656" w:rsidP="00620656">
      <w:pPr>
        <w:pStyle w:val="ListParagraph"/>
        <w:widowControl/>
        <w:numPr>
          <w:ilvl w:val="1"/>
          <w:numId w:val="4"/>
        </w:numPr>
        <w:autoSpaceDE/>
        <w:autoSpaceDN/>
        <w:spacing w:before="34"/>
        <w:ind w:left="720" w:right="67"/>
        <w:contextualSpacing/>
        <w:jc w:val="both"/>
        <w:rPr>
          <w:rFonts w:ascii="Arial" w:eastAsia="Times New Roman" w:hAnsi="Arial" w:cs="Arial"/>
          <w:sz w:val="20"/>
          <w:szCs w:val="20"/>
          <w:lang w:val="en-GB"/>
        </w:rPr>
      </w:pPr>
      <w:r w:rsidRPr="006406AC">
        <w:rPr>
          <w:rFonts w:ascii="Arial" w:eastAsia="Times New Roman" w:hAnsi="Arial" w:cs="Arial"/>
          <w:sz w:val="20"/>
          <w:szCs w:val="20"/>
          <w:lang w:val="en-GB"/>
        </w:rPr>
        <w:t xml:space="preserve">the primary market for the underlying securities is closed or </w:t>
      </w:r>
      <w:proofErr w:type="gramStart"/>
      <w:r w:rsidRPr="006406AC">
        <w:rPr>
          <w:rFonts w:ascii="Arial" w:eastAsia="Times New Roman" w:hAnsi="Arial" w:cs="Arial"/>
          <w:sz w:val="20"/>
          <w:szCs w:val="20"/>
          <w:lang w:val="en-GB"/>
        </w:rPr>
        <w:t>halted</w:t>
      </w:r>
      <w:proofErr w:type="gramEnd"/>
      <w:r w:rsidRPr="006406AC">
        <w:rPr>
          <w:rFonts w:ascii="Arial" w:eastAsia="Times New Roman" w:hAnsi="Arial" w:cs="Arial"/>
          <w:sz w:val="20"/>
          <w:szCs w:val="20"/>
          <w:lang w:val="en-GB"/>
        </w:rPr>
        <w:t xml:space="preserve"> </w:t>
      </w:r>
    </w:p>
    <w:p w14:paraId="260252D9" w14:textId="77777777" w:rsidR="00620656" w:rsidRPr="006406AC" w:rsidRDefault="00620656" w:rsidP="00620656">
      <w:pPr>
        <w:pStyle w:val="ListParagraph"/>
        <w:widowControl/>
        <w:numPr>
          <w:ilvl w:val="1"/>
          <w:numId w:val="4"/>
        </w:numPr>
        <w:autoSpaceDE/>
        <w:autoSpaceDN/>
        <w:spacing w:before="34"/>
        <w:ind w:left="720" w:right="67"/>
        <w:contextualSpacing/>
        <w:jc w:val="both"/>
        <w:rPr>
          <w:rFonts w:ascii="Arial" w:eastAsia="Times New Roman" w:hAnsi="Arial" w:cs="Arial"/>
          <w:sz w:val="20"/>
          <w:szCs w:val="20"/>
          <w:lang w:val="en-GB"/>
        </w:rPr>
      </w:pPr>
      <w:r w:rsidRPr="006406AC">
        <w:rPr>
          <w:rFonts w:ascii="Arial" w:eastAsia="Times New Roman" w:hAnsi="Arial" w:cs="Arial"/>
          <w:sz w:val="20"/>
          <w:szCs w:val="20"/>
          <w:lang w:val="en-GB"/>
        </w:rPr>
        <w:t>Single Stock Futures contract or underlying securities is illiquid in either DGCX or primary market.</w:t>
      </w:r>
    </w:p>
    <w:p w14:paraId="423103CE" w14:textId="77777777" w:rsidR="00620656" w:rsidRPr="006406AC" w:rsidRDefault="00620656" w:rsidP="00620656">
      <w:pPr>
        <w:jc w:val="both"/>
        <w:rPr>
          <w:rFonts w:ascii="Arial" w:hAnsi="Arial" w:cs="Arial"/>
          <w:sz w:val="20"/>
          <w:szCs w:val="20"/>
        </w:rPr>
      </w:pPr>
    </w:p>
    <w:p w14:paraId="6D6BDFC8" w14:textId="77777777" w:rsidR="00620656" w:rsidRPr="006406AC" w:rsidRDefault="00620656" w:rsidP="00620656">
      <w:pPr>
        <w:pStyle w:val="ListParagraph"/>
        <w:ind w:left="360"/>
        <w:jc w:val="both"/>
        <w:rPr>
          <w:rFonts w:ascii="Arial" w:eastAsia="Times New Roman" w:hAnsi="Arial" w:cs="Arial"/>
          <w:sz w:val="20"/>
          <w:szCs w:val="20"/>
          <w:lang w:val="en-GB"/>
        </w:rPr>
      </w:pPr>
      <w:r w:rsidRPr="006406AC">
        <w:rPr>
          <w:rFonts w:ascii="Arial" w:eastAsia="Times New Roman" w:hAnsi="Arial" w:cs="Arial"/>
          <w:sz w:val="20"/>
          <w:szCs w:val="20"/>
          <w:lang w:val="en-GB"/>
        </w:rPr>
        <w:t xml:space="preserve">This brief statement cannot capture </w:t>
      </w:r>
      <w:proofErr w:type="gramStart"/>
      <w:r w:rsidRPr="006406AC">
        <w:rPr>
          <w:rFonts w:ascii="Arial" w:eastAsia="Times New Roman" w:hAnsi="Arial" w:cs="Arial"/>
          <w:sz w:val="20"/>
          <w:szCs w:val="20"/>
          <w:lang w:val="en-GB"/>
        </w:rPr>
        <w:t>all of</w:t>
      </w:r>
      <w:proofErr w:type="gramEnd"/>
      <w:r w:rsidRPr="006406AC">
        <w:rPr>
          <w:rFonts w:ascii="Arial" w:eastAsia="Times New Roman" w:hAnsi="Arial" w:cs="Arial"/>
          <w:sz w:val="20"/>
          <w:szCs w:val="20"/>
          <w:lang w:val="en-GB"/>
        </w:rPr>
        <w:t xml:space="preserve"> the risks and other aspects associated with trading in the commodity and financial futures &amp; options market. </w:t>
      </w:r>
    </w:p>
    <w:p w14:paraId="5E74F5B7" w14:textId="77777777" w:rsidR="00620656" w:rsidRPr="006406AC" w:rsidRDefault="00620656" w:rsidP="00620656">
      <w:pPr>
        <w:pStyle w:val="ListParagraph"/>
        <w:ind w:left="360"/>
        <w:jc w:val="both"/>
        <w:rPr>
          <w:rFonts w:ascii="Arial" w:eastAsia="Times New Roman" w:hAnsi="Arial" w:cs="Arial"/>
          <w:sz w:val="20"/>
          <w:szCs w:val="20"/>
          <w:lang w:val="en-GB"/>
        </w:rPr>
      </w:pPr>
    </w:p>
    <w:p w14:paraId="48034346" w14:textId="77777777" w:rsidR="00620656" w:rsidRPr="006406AC" w:rsidRDefault="00620656" w:rsidP="00620656">
      <w:pPr>
        <w:pStyle w:val="ListParagraph"/>
        <w:ind w:left="360"/>
        <w:jc w:val="both"/>
        <w:rPr>
          <w:rFonts w:ascii="Arial" w:eastAsia="Times New Roman" w:hAnsi="Arial" w:cs="Arial"/>
          <w:sz w:val="20"/>
          <w:szCs w:val="20"/>
          <w:lang w:val="en-GB"/>
        </w:rPr>
      </w:pPr>
      <w:r w:rsidRPr="006406AC">
        <w:rPr>
          <w:rFonts w:ascii="Arial" w:eastAsia="Times New Roman" w:hAnsi="Arial" w:cs="Arial"/>
          <w:sz w:val="20"/>
          <w:szCs w:val="20"/>
          <w:lang w:val="en-GB"/>
        </w:rPr>
        <w:t xml:space="preserve">Client should be aware and understand and consider carefully whether trading in commodity futures and options is appropriate for you, (or your company), and </w:t>
      </w:r>
      <w:proofErr w:type="gramStart"/>
      <w:r w:rsidRPr="006406AC">
        <w:rPr>
          <w:rFonts w:ascii="Arial" w:eastAsia="Times New Roman" w:hAnsi="Arial" w:cs="Arial"/>
          <w:sz w:val="20"/>
          <w:szCs w:val="20"/>
          <w:lang w:val="en-GB"/>
        </w:rPr>
        <w:t>in light of</w:t>
      </w:r>
      <w:proofErr w:type="gramEnd"/>
      <w:r w:rsidRPr="006406AC">
        <w:rPr>
          <w:rFonts w:ascii="Arial" w:eastAsia="Times New Roman" w:hAnsi="Arial" w:cs="Arial"/>
          <w:sz w:val="20"/>
          <w:szCs w:val="20"/>
          <w:lang w:val="en-GB"/>
        </w:rPr>
        <w:t xml:space="preserve"> your experience, objectives and financial resources. </w:t>
      </w:r>
    </w:p>
    <w:p w14:paraId="4038AD72" w14:textId="77777777" w:rsidR="00620656" w:rsidRPr="006406AC" w:rsidRDefault="00620656" w:rsidP="00620656">
      <w:pPr>
        <w:pStyle w:val="ListParagraph"/>
        <w:ind w:left="360"/>
        <w:rPr>
          <w:rFonts w:ascii="Arial" w:hAnsi="Arial" w:cs="Arial"/>
          <w:sz w:val="20"/>
          <w:szCs w:val="20"/>
        </w:rPr>
      </w:pPr>
    </w:p>
    <w:p w14:paraId="5962C029" w14:textId="77777777" w:rsidR="00620656" w:rsidRPr="006406AC" w:rsidRDefault="00620656" w:rsidP="00620656">
      <w:pPr>
        <w:jc w:val="both"/>
        <w:rPr>
          <w:rFonts w:ascii="Arial" w:hAnsi="Arial" w:cs="Arial"/>
          <w:sz w:val="20"/>
          <w:szCs w:val="20"/>
        </w:rPr>
      </w:pPr>
    </w:p>
    <w:p w14:paraId="3C72C541" w14:textId="77777777" w:rsidR="00620656" w:rsidRPr="006406AC" w:rsidRDefault="00620656" w:rsidP="00620656">
      <w:pPr>
        <w:tabs>
          <w:tab w:val="left" w:pos="0"/>
        </w:tabs>
        <w:rPr>
          <w:rFonts w:ascii="Arial" w:hAnsi="Arial" w:cs="Arial"/>
          <w:sz w:val="20"/>
          <w:szCs w:val="20"/>
        </w:rPr>
      </w:pPr>
      <w:r w:rsidRPr="006406AC">
        <w:rPr>
          <w:rFonts w:ascii="Arial" w:hAnsi="Arial" w:cs="Arial"/>
          <w:b/>
          <w:sz w:val="20"/>
          <w:szCs w:val="20"/>
          <w:u w:val="single"/>
        </w:rPr>
        <w:t>Risk Disclosure Statement Acknowledgement</w:t>
      </w:r>
    </w:p>
    <w:p w14:paraId="1A0618B8" w14:textId="77777777" w:rsidR="00620656" w:rsidRPr="006406AC" w:rsidRDefault="00620656" w:rsidP="00620656">
      <w:pPr>
        <w:ind w:left="720"/>
        <w:jc w:val="both"/>
        <w:rPr>
          <w:rFonts w:ascii="Arial" w:hAnsi="Arial" w:cs="Arial"/>
          <w:sz w:val="20"/>
          <w:szCs w:val="20"/>
        </w:rPr>
      </w:pPr>
    </w:p>
    <w:p w14:paraId="76EF16F8" w14:textId="77777777" w:rsidR="00620656" w:rsidRPr="006406AC" w:rsidRDefault="00620656" w:rsidP="00620656">
      <w:pPr>
        <w:jc w:val="both"/>
        <w:rPr>
          <w:rFonts w:ascii="Arial" w:hAnsi="Arial" w:cs="Arial"/>
          <w:sz w:val="20"/>
          <w:szCs w:val="20"/>
        </w:rPr>
      </w:pPr>
      <w:r w:rsidRPr="006406AC">
        <w:rPr>
          <w:rFonts w:ascii="Arial" w:hAnsi="Arial" w:cs="Arial"/>
          <w:sz w:val="20"/>
          <w:szCs w:val="20"/>
        </w:rPr>
        <w:lastRenderedPageBreak/>
        <w:t>The undersigned hereby acknowledges that he/she/they have received a copy of the DGCX Risk Disclosure Statement and that they have read and understood it.</w:t>
      </w:r>
    </w:p>
    <w:p w14:paraId="4D5116EA" w14:textId="77777777" w:rsidR="00620656" w:rsidRPr="006406AC" w:rsidRDefault="00620656" w:rsidP="00620656">
      <w:pPr>
        <w:jc w:val="both"/>
        <w:rPr>
          <w:rFonts w:ascii="Arial" w:hAnsi="Arial" w:cs="Arial"/>
          <w:sz w:val="20"/>
          <w:szCs w:val="20"/>
        </w:rPr>
      </w:pPr>
      <w:r w:rsidRPr="006406AC">
        <w:rPr>
          <w:rFonts w:ascii="Arial" w:hAnsi="Arial" w:cs="Arial"/>
          <w:sz w:val="20"/>
          <w:szCs w:val="20"/>
        </w:rPr>
        <w:t xml:space="preserve"> </w:t>
      </w:r>
    </w:p>
    <w:p w14:paraId="3AE8DB5C" w14:textId="1F62896F" w:rsidR="00620656" w:rsidRPr="006406AC" w:rsidRDefault="00620656" w:rsidP="00620656">
      <w:pPr>
        <w:jc w:val="both"/>
        <w:rPr>
          <w:rFonts w:ascii="Arial" w:hAnsi="Arial" w:cs="Arial"/>
          <w:sz w:val="20"/>
          <w:szCs w:val="20"/>
        </w:rPr>
      </w:pPr>
      <w:r w:rsidRPr="006406AC">
        <w:rPr>
          <w:rFonts w:ascii="Arial" w:hAnsi="Arial" w:cs="Arial"/>
          <w:sz w:val="20"/>
          <w:szCs w:val="20"/>
        </w:rPr>
        <w:t>Signed*</w:t>
      </w:r>
      <w:r w:rsidRPr="006406AC">
        <w:rPr>
          <w:rFonts w:ascii="Arial" w:hAnsi="Arial" w:cs="Arial"/>
          <w:sz w:val="20"/>
          <w:szCs w:val="20"/>
        </w:rPr>
        <w:tab/>
        <w:t xml:space="preserve">: </w:t>
      </w:r>
    </w:p>
    <w:p w14:paraId="123435C9" w14:textId="7F97FB29"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60288" behindDoc="0" locked="0" layoutInCell="1" allowOverlap="1" wp14:anchorId="343B3EA6" wp14:editId="63423FD7">
                <wp:simplePos x="0" y="0"/>
                <wp:positionH relativeFrom="column">
                  <wp:posOffset>1003935</wp:posOffset>
                </wp:positionH>
                <wp:positionV relativeFrom="paragraph">
                  <wp:posOffset>8889</wp:posOffset>
                </wp:positionV>
                <wp:extent cx="941070" cy="0"/>
                <wp:effectExtent l="0" t="0" r="0" b="0"/>
                <wp:wrapNone/>
                <wp:docPr id="1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FC60"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7pt" to="15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"/>
            </w:pict>
          </mc:Fallback>
        </mc:AlternateContent>
      </w:r>
      <w:r w:rsidRPr="006406AC">
        <w:rPr>
          <w:rFonts w:ascii="Arial" w:hAnsi="Arial" w:cs="Arial"/>
          <w:sz w:val="20"/>
          <w:szCs w:val="20"/>
        </w:rPr>
        <w:t>Print Name</w:t>
      </w:r>
      <w:r w:rsidRPr="006406AC">
        <w:rPr>
          <w:rFonts w:ascii="Arial" w:hAnsi="Arial" w:cs="Arial"/>
          <w:sz w:val="20"/>
          <w:szCs w:val="20"/>
        </w:rPr>
        <w:tab/>
        <w:t xml:space="preserve">: </w:t>
      </w:r>
    </w:p>
    <w:p w14:paraId="78001FEE" w14:textId="26CB4864"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61312" behindDoc="0" locked="0" layoutInCell="1" allowOverlap="1" wp14:anchorId="5FDF2C5C" wp14:editId="4A1F1DE9">
                <wp:simplePos x="0" y="0"/>
                <wp:positionH relativeFrom="column">
                  <wp:posOffset>1003935</wp:posOffset>
                </wp:positionH>
                <wp:positionV relativeFrom="paragraph">
                  <wp:posOffset>15239</wp:posOffset>
                </wp:positionV>
                <wp:extent cx="941070" cy="0"/>
                <wp:effectExtent l="0" t="0" r="0" b="0"/>
                <wp:wrapNone/>
                <wp:docPr id="1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E2C5" id="Straight Connector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1.2pt" to="15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"/>
            </w:pict>
          </mc:Fallback>
        </mc:AlternateContent>
      </w:r>
      <w:r w:rsidRPr="006406AC">
        <w:rPr>
          <w:rFonts w:ascii="Arial" w:hAnsi="Arial" w:cs="Arial"/>
          <w:sz w:val="20"/>
          <w:szCs w:val="20"/>
        </w:rPr>
        <w:t>Date</w:t>
      </w:r>
      <w:r w:rsidRPr="006406AC">
        <w:rPr>
          <w:rFonts w:ascii="Arial" w:hAnsi="Arial" w:cs="Arial"/>
          <w:sz w:val="20"/>
          <w:szCs w:val="20"/>
        </w:rPr>
        <w:tab/>
      </w:r>
      <w:r w:rsidRPr="006406AC">
        <w:rPr>
          <w:rFonts w:ascii="Arial" w:hAnsi="Arial" w:cs="Arial"/>
          <w:sz w:val="20"/>
          <w:szCs w:val="20"/>
        </w:rPr>
        <w:tab/>
        <w:t xml:space="preserve">: </w:t>
      </w:r>
    </w:p>
    <w:p w14:paraId="37D5EB57" w14:textId="1766C1B5"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59264" behindDoc="0" locked="0" layoutInCell="1" allowOverlap="1" wp14:anchorId="0FB5BF42" wp14:editId="00FA24E9">
                <wp:simplePos x="0" y="0"/>
                <wp:positionH relativeFrom="column">
                  <wp:posOffset>1003935</wp:posOffset>
                </wp:positionH>
                <wp:positionV relativeFrom="paragraph">
                  <wp:posOffset>21589</wp:posOffset>
                </wp:positionV>
                <wp:extent cx="941070" cy="0"/>
                <wp:effectExtent l="0" t="0" r="0" b="0"/>
                <wp:wrapNone/>
                <wp:docPr id="1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B24DC"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1.7pt" to="15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"/>
            </w:pict>
          </mc:Fallback>
        </mc:AlternateContent>
      </w:r>
    </w:p>
    <w:p w14:paraId="24B24871" w14:textId="201D4EBE" w:rsidR="00620656" w:rsidRPr="006406AC" w:rsidRDefault="00620656" w:rsidP="00620656">
      <w:pPr>
        <w:jc w:val="both"/>
        <w:rPr>
          <w:rFonts w:ascii="Arial" w:hAnsi="Arial" w:cs="Arial"/>
          <w:sz w:val="20"/>
          <w:szCs w:val="20"/>
        </w:rPr>
      </w:pPr>
      <w:r w:rsidRPr="006406AC">
        <w:rPr>
          <w:rFonts w:ascii="Arial" w:hAnsi="Arial" w:cs="Arial"/>
          <w:sz w:val="20"/>
          <w:szCs w:val="20"/>
        </w:rPr>
        <w:t>Signed*</w:t>
      </w:r>
      <w:r w:rsidRPr="006406AC">
        <w:rPr>
          <w:rFonts w:ascii="Arial" w:hAnsi="Arial" w:cs="Arial"/>
          <w:sz w:val="20"/>
          <w:szCs w:val="20"/>
        </w:rPr>
        <w:tab/>
        <w:t xml:space="preserve">: </w:t>
      </w:r>
    </w:p>
    <w:p w14:paraId="6691D6BD" w14:textId="02082C2D"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63360" behindDoc="0" locked="0" layoutInCell="1" allowOverlap="1" wp14:anchorId="4A7707CA" wp14:editId="39295755">
                <wp:simplePos x="0" y="0"/>
                <wp:positionH relativeFrom="column">
                  <wp:posOffset>1003935</wp:posOffset>
                </wp:positionH>
                <wp:positionV relativeFrom="paragraph">
                  <wp:posOffset>8889</wp:posOffset>
                </wp:positionV>
                <wp:extent cx="941070" cy="0"/>
                <wp:effectExtent l="0" t="0" r="0" b="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1E155"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7pt" to="15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"/>
            </w:pict>
          </mc:Fallback>
        </mc:AlternateContent>
      </w:r>
      <w:r w:rsidRPr="006406AC">
        <w:rPr>
          <w:rFonts w:ascii="Arial" w:hAnsi="Arial" w:cs="Arial"/>
          <w:sz w:val="20"/>
          <w:szCs w:val="20"/>
        </w:rPr>
        <w:t>Print Name</w:t>
      </w:r>
      <w:r w:rsidRPr="006406AC">
        <w:rPr>
          <w:rFonts w:ascii="Arial" w:hAnsi="Arial" w:cs="Arial"/>
          <w:sz w:val="20"/>
          <w:szCs w:val="20"/>
        </w:rPr>
        <w:tab/>
        <w:t xml:space="preserve">: </w:t>
      </w:r>
    </w:p>
    <w:p w14:paraId="03E7F9A4" w14:textId="57BC93A5"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64384" behindDoc="0" locked="0" layoutInCell="1" allowOverlap="1" wp14:anchorId="5372AECB" wp14:editId="10B70161">
                <wp:simplePos x="0" y="0"/>
                <wp:positionH relativeFrom="column">
                  <wp:posOffset>1003935</wp:posOffset>
                </wp:positionH>
                <wp:positionV relativeFrom="paragraph">
                  <wp:posOffset>15239</wp:posOffset>
                </wp:positionV>
                <wp:extent cx="941070" cy="0"/>
                <wp:effectExtent l="0" t="0" r="0" b="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CB0AA" id="Straight Connector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1.2pt" to="15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"/>
            </w:pict>
          </mc:Fallback>
        </mc:AlternateContent>
      </w:r>
      <w:r w:rsidRPr="006406AC">
        <w:rPr>
          <w:rFonts w:ascii="Arial" w:hAnsi="Arial" w:cs="Arial"/>
          <w:sz w:val="20"/>
          <w:szCs w:val="20"/>
        </w:rPr>
        <w:t>Date</w:t>
      </w:r>
      <w:r w:rsidRPr="006406AC">
        <w:rPr>
          <w:rFonts w:ascii="Arial" w:hAnsi="Arial" w:cs="Arial"/>
          <w:sz w:val="20"/>
          <w:szCs w:val="20"/>
        </w:rPr>
        <w:tab/>
      </w:r>
      <w:r w:rsidRPr="006406AC">
        <w:rPr>
          <w:rFonts w:ascii="Arial" w:hAnsi="Arial" w:cs="Arial"/>
          <w:sz w:val="20"/>
          <w:szCs w:val="20"/>
        </w:rPr>
        <w:tab/>
        <w:t xml:space="preserve">: </w:t>
      </w:r>
    </w:p>
    <w:p w14:paraId="7560A80C" w14:textId="737EABAB"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62336" behindDoc="0" locked="0" layoutInCell="1" allowOverlap="1" wp14:anchorId="71A8767D" wp14:editId="75FC84C7">
                <wp:simplePos x="0" y="0"/>
                <wp:positionH relativeFrom="column">
                  <wp:posOffset>1003935</wp:posOffset>
                </wp:positionH>
                <wp:positionV relativeFrom="paragraph">
                  <wp:posOffset>21589</wp:posOffset>
                </wp:positionV>
                <wp:extent cx="941070" cy="0"/>
                <wp:effectExtent l="0" t="0" r="0" b="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4B0AD"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1.7pt" to="15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"/>
            </w:pict>
          </mc:Fallback>
        </mc:AlternateContent>
      </w:r>
    </w:p>
    <w:p w14:paraId="181BB94A" w14:textId="26EE541B" w:rsidR="00620656" w:rsidRPr="006406AC" w:rsidRDefault="00620656" w:rsidP="00620656">
      <w:pPr>
        <w:jc w:val="both"/>
        <w:rPr>
          <w:rFonts w:ascii="Arial" w:hAnsi="Arial" w:cs="Arial"/>
          <w:sz w:val="20"/>
          <w:szCs w:val="20"/>
        </w:rPr>
      </w:pPr>
      <w:r w:rsidRPr="006406AC">
        <w:rPr>
          <w:rFonts w:ascii="Arial" w:hAnsi="Arial" w:cs="Arial"/>
          <w:sz w:val="20"/>
          <w:szCs w:val="20"/>
        </w:rPr>
        <w:t>Signed*</w:t>
      </w:r>
      <w:r w:rsidRPr="006406AC">
        <w:rPr>
          <w:rFonts w:ascii="Arial" w:hAnsi="Arial" w:cs="Arial"/>
          <w:sz w:val="20"/>
          <w:szCs w:val="20"/>
        </w:rPr>
        <w:tab/>
        <w:t xml:space="preserve">: </w:t>
      </w:r>
    </w:p>
    <w:p w14:paraId="7AA01921" w14:textId="730BED7D"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66432" behindDoc="0" locked="0" layoutInCell="1" allowOverlap="1" wp14:anchorId="66D683F5" wp14:editId="4BD2DA42">
                <wp:simplePos x="0" y="0"/>
                <wp:positionH relativeFrom="column">
                  <wp:posOffset>1003935</wp:posOffset>
                </wp:positionH>
                <wp:positionV relativeFrom="paragraph">
                  <wp:posOffset>8889</wp:posOffset>
                </wp:positionV>
                <wp:extent cx="941070" cy="0"/>
                <wp:effectExtent l="0" t="0" r="0" b="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34571"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7pt" to="15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"/>
            </w:pict>
          </mc:Fallback>
        </mc:AlternateContent>
      </w:r>
      <w:r w:rsidRPr="006406AC">
        <w:rPr>
          <w:rFonts w:ascii="Arial" w:hAnsi="Arial" w:cs="Arial"/>
          <w:sz w:val="20"/>
          <w:szCs w:val="20"/>
        </w:rPr>
        <w:t>Print Name</w:t>
      </w:r>
      <w:r w:rsidRPr="006406AC">
        <w:rPr>
          <w:rFonts w:ascii="Arial" w:hAnsi="Arial" w:cs="Arial"/>
          <w:sz w:val="20"/>
          <w:szCs w:val="20"/>
        </w:rPr>
        <w:tab/>
        <w:t xml:space="preserve">: </w:t>
      </w:r>
    </w:p>
    <w:p w14:paraId="6AF1119A" w14:textId="566DD3E8"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67456" behindDoc="0" locked="0" layoutInCell="1" allowOverlap="1" wp14:anchorId="4E91333B" wp14:editId="77CEDFD5">
                <wp:simplePos x="0" y="0"/>
                <wp:positionH relativeFrom="column">
                  <wp:posOffset>1003935</wp:posOffset>
                </wp:positionH>
                <wp:positionV relativeFrom="paragraph">
                  <wp:posOffset>15239</wp:posOffset>
                </wp:positionV>
                <wp:extent cx="941070"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C1AA6"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1.2pt" to="15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"/>
            </w:pict>
          </mc:Fallback>
        </mc:AlternateContent>
      </w:r>
      <w:r w:rsidRPr="006406AC">
        <w:rPr>
          <w:rFonts w:ascii="Arial" w:hAnsi="Arial" w:cs="Arial"/>
          <w:sz w:val="20"/>
          <w:szCs w:val="20"/>
        </w:rPr>
        <w:t>Date</w:t>
      </w:r>
      <w:r w:rsidRPr="006406AC">
        <w:rPr>
          <w:rFonts w:ascii="Arial" w:hAnsi="Arial" w:cs="Arial"/>
          <w:sz w:val="20"/>
          <w:szCs w:val="20"/>
        </w:rPr>
        <w:tab/>
      </w:r>
      <w:r w:rsidRPr="006406AC">
        <w:rPr>
          <w:rFonts w:ascii="Arial" w:hAnsi="Arial" w:cs="Arial"/>
          <w:sz w:val="20"/>
          <w:szCs w:val="20"/>
        </w:rPr>
        <w:tab/>
        <w:t xml:space="preserve">: </w:t>
      </w:r>
    </w:p>
    <w:p w14:paraId="3D3D42A6" w14:textId="62F43F14"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65408" behindDoc="0" locked="0" layoutInCell="1" allowOverlap="1" wp14:anchorId="3367477C" wp14:editId="7B6B6AFC">
                <wp:simplePos x="0" y="0"/>
                <wp:positionH relativeFrom="column">
                  <wp:posOffset>1003935</wp:posOffset>
                </wp:positionH>
                <wp:positionV relativeFrom="paragraph">
                  <wp:posOffset>21589</wp:posOffset>
                </wp:positionV>
                <wp:extent cx="94107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31EC"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1.7pt" to="15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"/>
            </w:pict>
          </mc:Fallback>
        </mc:AlternateContent>
      </w:r>
    </w:p>
    <w:p w14:paraId="72329DF6" w14:textId="04D97F1E" w:rsidR="00620656" w:rsidRPr="006406AC" w:rsidRDefault="00620656" w:rsidP="00620656">
      <w:pPr>
        <w:jc w:val="both"/>
        <w:rPr>
          <w:rFonts w:ascii="Arial" w:hAnsi="Arial" w:cs="Arial"/>
          <w:sz w:val="20"/>
          <w:szCs w:val="20"/>
        </w:rPr>
      </w:pPr>
      <w:r w:rsidRPr="006406AC">
        <w:rPr>
          <w:rFonts w:ascii="Arial" w:hAnsi="Arial" w:cs="Arial"/>
          <w:sz w:val="20"/>
          <w:szCs w:val="20"/>
        </w:rPr>
        <w:t>Signed*</w:t>
      </w:r>
      <w:r w:rsidRPr="006406AC">
        <w:rPr>
          <w:rFonts w:ascii="Arial" w:hAnsi="Arial" w:cs="Arial"/>
          <w:sz w:val="20"/>
          <w:szCs w:val="20"/>
        </w:rPr>
        <w:tab/>
        <w:t xml:space="preserve">: </w:t>
      </w:r>
    </w:p>
    <w:p w14:paraId="1AE2E765" w14:textId="6B448273"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69504" behindDoc="0" locked="0" layoutInCell="1" allowOverlap="1" wp14:anchorId="1C2E2CDA" wp14:editId="7A2EAA34">
                <wp:simplePos x="0" y="0"/>
                <wp:positionH relativeFrom="column">
                  <wp:posOffset>1003935</wp:posOffset>
                </wp:positionH>
                <wp:positionV relativeFrom="paragraph">
                  <wp:posOffset>8889</wp:posOffset>
                </wp:positionV>
                <wp:extent cx="94107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D1079"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7pt" to="15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"/>
            </w:pict>
          </mc:Fallback>
        </mc:AlternateContent>
      </w:r>
      <w:r w:rsidRPr="006406AC">
        <w:rPr>
          <w:rFonts w:ascii="Arial" w:hAnsi="Arial" w:cs="Arial"/>
          <w:sz w:val="20"/>
          <w:szCs w:val="20"/>
        </w:rPr>
        <w:t>Print Name</w:t>
      </w:r>
      <w:r w:rsidRPr="006406AC">
        <w:rPr>
          <w:rFonts w:ascii="Arial" w:hAnsi="Arial" w:cs="Arial"/>
          <w:sz w:val="20"/>
          <w:szCs w:val="20"/>
        </w:rPr>
        <w:tab/>
        <w:t xml:space="preserve">: </w:t>
      </w:r>
    </w:p>
    <w:p w14:paraId="0DD3DF71" w14:textId="17DB6D34"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70528" behindDoc="0" locked="0" layoutInCell="1" allowOverlap="1" wp14:anchorId="327B61A4" wp14:editId="6360E91A">
                <wp:simplePos x="0" y="0"/>
                <wp:positionH relativeFrom="column">
                  <wp:posOffset>1003935</wp:posOffset>
                </wp:positionH>
                <wp:positionV relativeFrom="paragraph">
                  <wp:posOffset>15239</wp:posOffset>
                </wp:positionV>
                <wp:extent cx="94107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531E2"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1.2pt" to="15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"/>
            </w:pict>
          </mc:Fallback>
        </mc:AlternateContent>
      </w:r>
      <w:r w:rsidRPr="006406AC">
        <w:rPr>
          <w:rFonts w:ascii="Arial" w:hAnsi="Arial" w:cs="Arial"/>
          <w:sz w:val="20"/>
          <w:szCs w:val="20"/>
        </w:rPr>
        <w:t>Date</w:t>
      </w:r>
      <w:r w:rsidRPr="006406AC">
        <w:rPr>
          <w:rFonts w:ascii="Arial" w:hAnsi="Arial" w:cs="Arial"/>
          <w:sz w:val="20"/>
          <w:szCs w:val="20"/>
        </w:rPr>
        <w:tab/>
      </w:r>
      <w:r w:rsidRPr="006406AC">
        <w:rPr>
          <w:rFonts w:ascii="Arial" w:hAnsi="Arial" w:cs="Arial"/>
          <w:sz w:val="20"/>
          <w:szCs w:val="20"/>
        </w:rPr>
        <w:tab/>
        <w:t xml:space="preserve">: </w:t>
      </w:r>
    </w:p>
    <w:p w14:paraId="142FAC0C" w14:textId="61131CEB" w:rsidR="00620656" w:rsidRPr="006406AC" w:rsidRDefault="00620656" w:rsidP="00620656">
      <w:pPr>
        <w:jc w:val="both"/>
        <w:rPr>
          <w:rFonts w:ascii="Arial" w:hAnsi="Arial" w:cs="Arial"/>
          <w:sz w:val="20"/>
          <w:szCs w:val="20"/>
        </w:rPr>
      </w:pPr>
      <w:r w:rsidRPr="006406AC">
        <w:rPr>
          <w:rFonts w:ascii="Arial" w:hAnsi="Arial" w:cs="Arial"/>
          <w:noProof/>
          <w:sz w:val="20"/>
          <w:szCs w:val="20"/>
        </w:rPr>
        <mc:AlternateContent>
          <mc:Choice Requires="wps">
            <w:drawing>
              <wp:anchor distT="4294967295" distB="4294967295" distL="114300" distR="114300" simplePos="0" relativeHeight="251668480" behindDoc="0" locked="0" layoutInCell="1" allowOverlap="1" wp14:anchorId="425D9E21" wp14:editId="59CE795F">
                <wp:simplePos x="0" y="0"/>
                <wp:positionH relativeFrom="column">
                  <wp:posOffset>1003935</wp:posOffset>
                </wp:positionH>
                <wp:positionV relativeFrom="paragraph">
                  <wp:posOffset>21589</wp:posOffset>
                </wp:positionV>
                <wp:extent cx="94107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13877"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1.7pt" to="15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"/>
            </w:pict>
          </mc:Fallback>
        </mc:AlternateContent>
      </w:r>
    </w:p>
    <w:p w14:paraId="03E81278" w14:textId="77777777" w:rsidR="00620656" w:rsidRPr="006406AC" w:rsidRDefault="00620656" w:rsidP="00620656">
      <w:pPr>
        <w:jc w:val="both"/>
        <w:rPr>
          <w:rFonts w:ascii="Arial" w:hAnsi="Arial" w:cs="Arial"/>
          <w:sz w:val="20"/>
          <w:szCs w:val="20"/>
        </w:rPr>
      </w:pPr>
    </w:p>
    <w:p w14:paraId="79192B5B" w14:textId="03202FE1" w:rsidR="00620656" w:rsidRPr="006406AC" w:rsidRDefault="00620656" w:rsidP="00620656">
      <w:pPr>
        <w:pStyle w:val="Heading2"/>
        <w:ind w:left="0"/>
        <w:rPr>
          <w:rFonts w:ascii="Arial" w:hAnsi="Arial" w:cs="Arial"/>
          <w:b w:val="0"/>
          <w:color w:val="auto"/>
          <w:sz w:val="20"/>
        </w:rPr>
      </w:pPr>
      <w:r w:rsidRPr="006406AC">
        <w:rPr>
          <w:rFonts w:ascii="Arial" w:hAnsi="Arial" w:cs="Arial"/>
          <w:color w:val="auto"/>
          <w:sz w:val="20"/>
          <w:u w:val="single"/>
        </w:rPr>
        <w:t>*Note</w:t>
      </w:r>
      <w:r w:rsidRPr="006406AC">
        <w:rPr>
          <w:rFonts w:ascii="Arial" w:hAnsi="Arial" w:cs="Arial"/>
          <w:color w:val="auto"/>
          <w:sz w:val="20"/>
        </w:rPr>
        <w:t>:</w:t>
      </w:r>
      <w:r w:rsidRPr="006406AC">
        <w:rPr>
          <w:rFonts w:ascii="Arial" w:hAnsi="Arial" w:cs="Arial"/>
          <w:b w:val="0"/>
          <w:color w:val="auto"/>
          <w:sz w:val="20"/>
        </w:rPr>
        <w:t xml:space="preserve"> This acknowledgement is to be signed by the Account Holder (in the case of an Account held by one individual), or by all Account Holders (in the case of an Account held by more than one individual). Where an Account is held by a corporation, this acknowledgement is to be signed by two Directors of the corporation or otherwise in accordance with a resolution by the board directors of the corporation.</w:t>
      </w:r>
    </w:p>
    <w:p w14:paraId="4B5097B2" w14:textId="77777777" w:rsidR="009E172D" w:rsidRPr="006406AC" w:rsidRDefault="009E172D">
      <w:pPr>
        <w:pStyle w:val="BodyText"/>
        <w:rPr>
          <w:rFonts w:ascii="Times New Roman"/>
          <w:sz w:val="20"/>
          <w:szCs w:val="20"/>
        </w:rPr>
      </w:pPr>
    </w:p>
    <w:p w14:paraId="6DD85D14" w14:textId="4F8EDACD" w:rsidR="009E172D" w:rsidRDefault="009E172D">
      <w:pPr>
        <w:pStyle w:val="BodyText"/>
        <w:ind w:left="100"/>
        <w:rPr>
          <w:rFonts w:ascii="Times New Roman"/>
          <w:sz w:val="20"/>
        </w:rPr>
      </w:pPr>
    </w:p>
    <w:p w14:paraId="5762BCC0" w14:textId="77777777" w:rsidR="009E172D" w:rsidRDefault="009E172D">
      <w:pPr>
        <w:pStyle w:val="BodyText"/>
        <w:rPr>
          <w:rFonts w:ascii="Times New Roman"/>
          <w:sz w:val="20"/>
        </w:rPr>
      </w:pPr>
    </w:p>
    <w:sectPr w:rsidR="009E172D">
      <w:headerReference w:type="default" r:id="rId8"/>
      <w:footerReference w:type="default" r:id="rId9"/>
      <w:pgSz w:w="11240" w:h="15840"/>
      <w:pgMar w:top="1820" w:right="15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839C" w14:textId="77777777" w:rsidR="001C1B44" w:rsidRDefault="001C1B44" w:rsidP="00B60A07">
      <w:r>
        <w:separator/>
      </w:r>
    </w:p>
  </w:endnote>
  <w:endnote w:type="continuationSeparator" w:id="0">
    <w:p w14:paraId="3FF2FDCE" w14:textId="77777777" w:rsidR="001C1B44" w:rsidRDefault="001C1B44" w:rsidP="00B6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HTF-Book">
    <w:altName w:val="Cambria"/>
    <w:charset w:val="00"/>
    <w:family w:val="roman"/>
    <w:pitch w:val="variable"/>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808E" w14:textId="1A190E0D" w:rsidR="00B60A07" w:rsidRDefault="00733F6D" w:rsidP="00B60A07">
    <w:pPr>
      <w:pStyle w:val="BodyText"/>
      <w:spacing w:before="105"/>
      <w:ind w:left="100"/>
    </w:pPr>
    <w:r>
      <w:rPr>
        <w:noProof/>
      </w:rPr>
      <mc:AlternateContent>
        <mc:Choice Requires="wps">
          <w:drawing>
            <wp:anchor distT="0" distB="0" distL="114300" distR="114300" simplePos="0" relativeHeight="251657728" behindDoc="0" locked="0" layoutInCell="1" allowOverlap="1" wp14:anchorId="578BD41F" wp14:editId="458F5A44">
              <wp:simplePos x="0" y="0"/>
              <wp:positionH relativeFrom="page">
                <wp:posOffset>1419860</wp:posOffset>
              </wp:positionH>
              <wp:positionV relativeFrom="paragraph">
                <wp:posOffset>77470</wp:posOffset>
              </wp:positionV>
              <wp:extent cx="0" cy="299720"/>
              <wp:effectExtent l="0" t="0" r="0" b="0"/>
              <wp:wrapNone/>
              <wp:docPr id="51247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6604">
                        <a:solidFill>
                          <a:srgbClr val="B497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6592E"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8pt,6.1pt" to="111.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" strokecolor="#b49759" strokeweight=".52pt">
              <w10:wrap anchorx="page"/>
            </v:line>
          </w:pict>
        </mc:Fallback>
      </mc:AlternateContent>
    </w:r>
    <w:r w:rsidR="00B60A07">
      <w:rPr>
        <w:noProof/>
      </w:rPr>
      <mc:AlternateContent>
        <mc:Choice Requires="wps">
          <w:drawing>
            <wp:anchor distT="0" distB="0" distL="114300" distR="114300" simplePos="0" relativeHeight="251658752" behindDoc="0" locked="0" layoutInCell="1" allowOverlap="1" wp14:anchorId="7EFD53FC" wp14:editId="53D89ED8">
              <wp:simplePos x="0" y="0"/>
              <wp:positionH relativeFrom="page">
                <wp:posOffset>6931025</wp:posOffset>
              </wp:positionH>
              <wp:positionV relativeFrom="page">
                <wp:posOffset>0</wp:posOffset>
              </wp:positionV>
              <wp:extent cx="201295" cy="10058400"/>
              <wp:effectExtent l="0" t="0" r="0" b="0"/>
              <wp:wrapNone/>
              <wp:docPr id="6085655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0058400"/>
                      </a:xfrm>
                      <a:prstGeom prst="rect">
                        <a:avLst/>
                      </a:prstGeom>
                      <a:solidFill>
                        <a:srgbClr val="B497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C2AE1" id="Rectangle 4" o:spid="_x0000_s1026" style="position:absolute;margin-left:545.75pt;margin-top:0;width:15.85pt;height:1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" fillcolor="#b49759" stroked="f">
              <w10:wrap anchorx="page" anchory="page"/>
            </v:rect>
          </w:pict>
        </mc:Fallback>
      </mc:AlternateContent>
    </w:r>
    <w:r w:rsidR="00B60A07">
      <w:rPr>
        <w:color w:val="414042"/>
        <w:spacing w:val="-2"/>
      </w:rPr>
      <w:t>T.</w:t>
    </w:r>
    <w:r w:rsidR="00B60A07">
      <w:rPr>
        <w:color w:val="414042"/>
        <w:spacing w:val="-6"/>
      </w:rPr>
      <w:t xml:space="preserve"> </w:t>
    </w:r>
    <w:r w:rsidR="00B60A07">
      <w:rPr>
        <w:color w:val="414042"/>
        <w:spacing w:val="-2"/>
      </w:rPr>
      <w:t>+971</w:t>
    </w:r>
    <w:r w:rsidR="00B60A07">
      <w:rPr>
        <w:color w:val="414042"/>
        <w:spacing w:val="-5"/>
      </w:rPr>
      <w:t xml:space="preserve"> </w:t>
    </w:r>
    <w:r w:rsidR="00B60A07">
      <w:rPr>
        <w:color w:val="414042"/>
        <w:spacing w:val="-2"/>
      </w:rPr>
      <w:t>4361</w:t>
    </w:r>
    <w:r w:rsidR="00B60A07">
      <w:rPr>
        <w:color w:val="414042"/>
        <w:spacing w:val="-5"/>
      </w:rPr>
      <w:t xml:space="preserve"> </w:t>
    </w:r>
    <w:r w:rsidR="00B60A07">
      <w:rPr>
        <w:color w:val="414042"/>
        <w:spacing w:val="-4"/>
      </w:rPr>
      <w:t>1616</w:t>
    </w:r>
    <w:r w:rsidRPr="00733F6D">
      <w:rPr>
        <w:color w:val="414042"/>
        <w:spacing w:val="-8"/>
        <w:w w:val="105"/>
      </w:rPr>
      <w:t xml:space="preserve"> </w:t>
    </w:r>
    <w:r>
      <w:rPr>
        <w:color w:val="414042"/>
        <w:spacing w:val="-8"/>
        <w:w w:val="105"/>
      </w:rPr>
      <w:t xml:space="preserve">                       Floor 37, Gold Tower</w:t>
    </w:r>
  </w:p>
  <w:p w14:paraId="2D319284" w14:textId="2B0A11CA" w:rsidR="00B60A07" w:rsidRDefault="00B60A07" w:rsidP="00B60A07">
    <w:pPr>
      <w:pStyle w:val="BodyText"/>
      <w:spacing w:before="16"/>
      <w:ind w:left="100"/>
    </w:pPr>
    <w:r>
      <w:rPr>
        <w:color w:val="414042"/>
      </w:rPr>
      <w:t>F.</w:t>
    </w:r>
    <w:r>
      <w:rPr>
        <w:color w:val="414042"/>
        <w:spacing w:val="-9"/>
      </w:rPr>
      <w:t xml:space="preserve"> </w:t>
    </w:r>
    <w:r>
      <w:rPr>
        <w:color w:val="414042"/>
      </w:rPr>
      <w:t>+971</w:t>
    </w:r>
    <w:r>
      <w:rPr>
        <w:color w:val="414042"/>
        <w:spacing w:val="-8"/>
      </w:rPr>
      <w:t xml:space="preserve"> </w:t>
    </w:r>
    <w:r>
      <w:rPr>
        <w:color w:val="414042"/>
      </w:rPr>
      <w:t>4</w:t>
    </w:r>
    <w:r>
      <w:rPr>
        <w:color w:val="414042"/>
        <w:spacing w:val="-9"/>
      </w:rPr>
      <w:t xml:space="preserve"> </w:t>
    </w:r>
    <w:r>
      <w:rPr>
        <w:color w:val="414042"/>
      </w:rPr>
      <w:t>361</w:t>
    </w:r>
    <w:r>
      <w:rPr>
        <w:color w:val="414042"/>
        <w:spacing w:val="-8"/>
      </w:rPr>
      <w:t xml:space="preserve"> </w:t>
    </w:r>
    <w:r>
      <w:rPr>
        <w:color w:val="414042"/>
      </w:rPr>
      <w:t>16</w:t>
    </w:r>
    <w:r>
      <w:rPr>
        <w:color w:val="414042"/>
        <w:spacing w:val="-8"/>
      </w:rPr>
      <w:t xml:space="preserve"> </w:t>
    </w:r>
    <w:r>
      <w:rPr>
        <w:color w:val="414042"/>
        <w:spacing w:val="-5"/>
      </w:rPr>
      <w:t>17</w:t>
    </w:r>
    <w:r w:rsidR="00733F6D">
      <w:rPr>
        <w:color w:val="414042"/>
        <w:spacing w:val="-5"/>
      </w:rPr>
      <w:t xml:space="preserve">                   </w:t>
    </w:r>
    <w:r w:rsidR="00733F6D" w:rsidRPr="00733F6D">
      <w:rPr>
        <w:color w:val="414042"/>
        <w:w w:val="105"/>
      </w:rPr>
      <w:t xml:space="preserve"> </w:t>
    </w:r>
    <w:r w:rsidR="00733F6D">
      <w:rPr>
        <w:color w:val="414042"/>
        <w:w w:val="105"/>
      </w:rPr>
      <w:t>JLT Cluster I</w:t>
    </w:r>
  </w:p>
  <w:p w14:paraId="66F85F75" w14:textId="2CEE2F86" w:rsidR="003A7C93" w:rsidRDefault="00B60A07" w:rsidP="003A7C93">
    <w:pPr>
      <w:pStyle w:val="BodyText"/>
      <w:spacing w:before="16"/>
      <w:ind w:left="100"/>
    </w:pPr>
    <w:r>
      <w:rPr>
        <w:color w:val="414042"/>
      </w:rPr>
      <w:t>E.</w:t>
    </w:r>
    <w:r>
      <w:rPr>
        <w:color w:val="414042"/>
        <w:spacing w:val="-5"/>
      </w:rPr>
      <w:t xml:space="preserve"> </w:t>
    </w:r>
    <w:hyperlink r:id="rId1" w:history="1">
      <w:r w:rsidR="006D15AA" w:rsidRPr="006D15AA">
        <w:rPr>
          <w:color w:val="414042"/>
        </w:rPr>
        <w:t>info@dgcx.ae</w:t>
      </w:r>
    </w:hyperlink>
    <w:r w:rsidR="00733F6D" w:rsidRPr="00733F6D">
      <w:rPr>
        <w:color w:val="414042"/>
      </w:rPr>
      <w:t xml:space="preserve"> </w:t>
    </w:r>
    <w:r w:rsidR="00733F6D">
      <w:rPr>
        <w:color w:val="414042"/>
      </w:rPr>
      <w:t xml:space="preserve">                     </w:t>
    </w:r>
    <w:r w:rsidR="006D15AA">
      <w:rPr>
        <w:color w:val="414042"/>
      </w:rPr>
      <w:t xml:space="preserve"> </w:t>
    </w:r>
    <w:r w:rsidR="00733F6D">
      <w:rPr>
        <w:color w:val="414042"/>
      </w:rPr>
      <w:t>PO</w:t>
    </w:r>
    <w:r w:rsidR="00733F6D">
      <w:rPr>
        <w:color w:val="414042"/>
        <w:spacing w:val="-9"/>
      </w:rPr>
      <w:t xml:space="preserve"> </w:t>
    </w:r>
    <w:r w:rsidR="00733F6D">
      <w:rPr>
        <w:color w:val="414042"/>
      </w:rPr>
      <w:t>Box</w:t>
    </w:r>
    <w:r w:rsidR="00733F6D">
      <w:rPr>
        <w:color w:val="414042"/>
        <w:spacing w:val="-8"/>
      </w:rPr>
      <w:t xml:space="preserve"> </w:t>
    </w:r>
    <w:r w:rsidR="00733F6D">
      <w:rPr>
        <w:color w:val="414042"/>
      </w:rPr>
      <w:t>37736,</w:t>
    </w:r>
    <w:r w:rsidR="00733F6D">
      <w:rPr>
        <w:color w:val="414042"/>
        <w:spacing w:val="-8"/>
      </w:rPr>
      <w:t xml:space="preserve"> </w:t>
    </w:r>
    <w:r w:rsidR="00733F6D">
      <w:rPr>
        <w:color w:val="414042"/>
      </w:rPr>
      <w:t>Dubai, UAE</w:t>
    </w:r>
  </w:p>
  <w:p w14:paraId="16C73262" w14:textId="2CFDA7BF" w:rsidR="00B60A07" w:rsidRDefault="00B60A07" w:rsidP="00733F6D">
    <w:pPr>
      <w:pStyle w:val="BodyText"/>
      <w:spacing w:before="1"/>
      <w:ind w:left="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2BF2" w14:textId="77777777" w:rsidR="001C1B44" w:rsidRDefault="001C1B44" w:rsidP="00B60A07">
      <w:r>
        <w:separator/>
      </w:r>
    </w:p>
  </w:footnote>
  <w:footnote w:type="continuationSeparator" w:id="0">
    <w:p w14:paraId="62681538" w14:textId="77777777" w:rsidR="001C1B44" w:rsidRDefault="001C1B44" w:rsidP="00B6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839F" w14:textId="5E5786D5" w:rsidR="00B60A07" w:rsidRDefault="0046089E">
    <w:pPr>
      <w:pStyle w:val="Header"/>
    </w:pPr>
    <w:r w:rsidRPr="00A81CEC">
      <w:rPr>
        <w:b/>
        <w:bCs/>
        <w:noProof/>
        <w:color w:val="B39759"/>
        <w:spacing w:val="-4"/>
        <w:sz w:val="74"/>
        <w:szCs w:val="74"/>
        <w:lang w:val="fr-FR"/>
      </w:rPr>
      <w:drawing>
        <wp:inline distT="0" distB="0" distL="0" distR="0" wp14:anchorId="5EDC8FB0" wp14:editId="4E814BDF">
          <wp:extent cx="1358900" cy="368300"/>
          <wp:effectExtent l="0" t="0" r="0" b="0"/>
          <wp:docPr id="1293488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88571" name=""/>
                  <pic:cNvPicPr/>
                </pic:nvPicPr>
                <pic:blipFill>
                  <a:blip r:embed="rId1"/>
                  <a:stretch>
                    <a:fillRect/>
                  </a:stretch>
                </pic:blipFill>
                <pic:spPr>
                  <a:xfrm>
                    <a:off x="0" y="0"/>
                    <a:ext cx="1358900" cy="368300"/>
                  </a:xfrm>
                  <a:prstGeom prst="rect">
                    <a:avLst/>
                  </a:prstGeom>
                </pic:spPr>
              </pic:pic>
            </a:graphicData>
          </a:graphic>
        </wp:inline>
      </w:drawing>
    </w:r>
  </w:p>
  <w:p w14:paraId="0B13FC14" w14:textId="77777777" w:rsidR="00B60A07" w:rsidRDefault="00B6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F22"/>
    <w:multiLevelType w:val="hybridMultilevel"/>
    <w:tmpl w:val="23AA83A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81B2746"/>
    <w:multiLevelType w:val="hybridMultilevel"/>
    <w:tmpl w:val="454CC8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53A94F2C"/>
    <w:multiLevelType w:val="hybridMultilevel"/>
    <w:tmpl w:val="EBA601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5C46A63"/>
    <w:multiLevelType w:val="hybridMultilevel"/>
    <w:tmpl w:val="76F4F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09174145">
    <w:abstractNumId w:val="1"/>
  </w:num>
  <w:num w:numId="2" w16cid:durableId="1019890309">
    <w:abstractNumId w:val="0"/>
  </w:num>
  <w:num w:numId="3" w16cid:durableId="1456144486">
    <w:abstractNumId w:val="2"/>
  </w:num>
  <w:num w:numId="4" w16cid:durableId="1621759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172D"/>
    <w:rsid w:val="000613FC"/>
    <w:rsid w:val="001720D0"/>
    <w:rsid w:val="001C1B44"/>
    <w:rsid w:val="001D2DEF"/>
    <w:rsid w:val="00267369"/>
    <w:rsid w:val="003A7C93"/>
    <w:rsid w:val="003D483B"/>
    <w:rsid w:val="00454D49"/>
    <w:rsid w:val="0046089E"/>
    <w:rsid w:val="004B090D"/>
    <w:rsid w:val="00604A7C"/>
    <w:rsid w:val="00620656"/>
    <w:rsid w:val="006406AC"/>
    <w:rsid w:val="006674A0"/>
    <w:rsid w:val="006D15AA"/>
    <w:rsid w:val="00733F6D"/>
    <w:rsid w:val="008532AE"/>
    <w:rsid w:val="009568D7"/>
    <w:rsid w:val="009E172D"/>
    <w:rsid w:val="00B60A07"/>
    <w:rsid w:val="00C035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6CF18"/>
  <w15:docId w15:val="{C7BE5114-DCEA-4AC8-A6C3-21BFC21B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HTF-Book" w:eastAsia="GothamHTF-Book" w:hAnsi="GothamHTF-Book" w:cs="GothamHTF-Book"/>
    </w:rPr>
  </w:style>
  <w:style w:type="paragraph" w:styleId="Heading2">
    <w:name w:val="heading 2"/>
    <w:basedOn w:val="Normal"/>
    <w:next w:val="Normal"/>
    <w:link w:val="Heading2Char"/>
    <w:qFormat/>
    <w:rsid w:val="00B60A07"/>
    <w:pPr>
      <w:keepNext/>
      <w:widowControl/>
      <w:autoSpaceDE/>
      <w:autoSpaceDN/>
      <w:ind w:left="360"/>
      <w:jc w:val="both"/>
      <w:outlineLvl w:val="1"/>
    </w:pPr>
    <w:rPr>
      <w:rFonts w:ascii="Book Antiqua" w:eastAsia="Times New Roman" w:hAnsi="Book Antiqua" w:cs="Times New Roman"/>
      <w:b/>
      <w:bCs/>
      <w:color w:val="0000FF"/>
      <w:szCs w:val="20"/>
      <w:lang w:val="en-GB"/>
    </w:rPr>
  </w:style>
  <w:style w:type="paragraph" w:styleId="Heading3">
    <w:name w:val="heading 3"/>
    <w:basedOn w:val="Normal"/>
    <w:next w:val="Normal"/>
    <w:link w:val="Heading3Char"/>
    <w:uiPriority w:val="9"/>
    <w:semiHidden/>
    <w:unhideWhenUsed/>
    <w:qFormat/>
    <w:rsid w:val="003A7C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2065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0A07"/>
    <w:pPr>
      <w:tabs>
        <w:tab w:val="center" w:pos="4513"/>
        <w:tab w:val="right" w:pos="9026"/>
      </w:tabs>
    </w:pPr>
  </w:style>
  <w:style w:type="character" w:customStyle="1" w:styleId="HeaderChar">
    <w:name w:val="Header Char"/>
    <w:basedOn w:val="DefaultParagraphFont"/>
    <w:link w:val="Header"/>
    <w:uiPriority w:val="99"/>
    <w:rsid w:val="00B60A07"/>
    <w:rPr>
      <w:rFonts w:ascii="GothamHTF-Book" w:eastAsia="GothamHTF-Book" w:hAnsi="GothamHTF-Book" w:cs="GothamHTF-Book"/>
    </w:rPr>
  </w:style>
  <w:style w:type="paragraph" w:styleId="Footer">
    <w:name w:val="footer"/>
    <w:basedOn w:val="Normal"/>
    <w:link w:val="FooterChar"/>
    <w:uiPriority w:val="99"/>
    <w:unhideWhenUsed/>
    <w:rsid w:val="00B60A07"/>
    <w:pPr>
      <w:tabs>
        <w:tab w:val="center" w:pos="4513"/>
        <w:tab w:val="right" w:pos="9026"/>
      </w:tabs>
    </w:pPr>
  </w:style>
  <w:style w:type="character" w:customStyle="1" w:styleId="FooterChar">
    <w:name w:val="Footer Char"/>
    <w:basedOn w:val="DefaultParagraphFont"/>
    <w:link w:val="Footer"/>
    <w:uiPriority w:val="99"/>
    <w:rsid w:val="00B60A07"/>
    <w:rPr>
      <w:rFonts w:ascii="GothamHTF-Book" w:eastAsia="GothamHTF-Book" w:hAnsi="GothamHTF-Book" w:cs="GothamHTF-Book"/>
    </w:rPr>
  </w:style>
  <w:style w:type="character" w:customStyle="1" w:styleId="Heading2Char">
    <w:name w:val="Heading 2 Char"/>
    <w:basedOn w:val="DefaultParagraphFont"/>
    <w:link w:val="Heading2"/>
    <w:rsid w:val="00B60A07"/>
    <w:rPr>
      <w:rFonts w:ascii="Book Antiqua" w:eastAsia="Times New Roman" w:hAnsi="Book Antiqua" w:cs="Times New Roman"/>
      <w:b/>
      <w:bCs/>
      <w:color w:val="0000FF"/>
      <w:szCs w:val="20"/>
      <w:lang w:val="en-GB"/>
    </w:rPr>
  </w:style>
  <w:style w:type="character" w:customStyle="1" w:styleId="Heading3Char">
    <w:name w:val="Heading 3 Char"/>
    <w:basedOn w:val="DefaultParagraphFont"/>
    <w:link w:val="Heading3"/>
    <w:uiPriority w:val="9"/>
    <w:semiHidden/>
    <w:rsid w:val="003A7C93"/>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620656"/>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6D15AA"/>
    <w:rPr>
      <w:color w:val="0000FF" w:themeColor="hyperlink"/>
      <w:u w:val="single"/>
    </w:rPr>
  </w:style>
  <w:style w:type="character" w:styleId="UnresolvedMention">
    <w:name w:val="Unresolved Mention"/>
    <w:basedOn w:val="DefaultParagraphFont"/>
    <w:uiPriority w:val="99"/>
    <w:semiHidden/>
    <w:unhideWhenUsed/>
    <w:rsid w:val="006D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dgcx.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TBClassification>
  <attrValue xml:space="preserve">Public</attrValue>
  <customPropName>Classification</customPropName>
  <timestamp>01/05/2023 16:44:06</timestamp>
  <userName>DGCX\SalamG</userName>
  <computerName>SALAMG.dgcx.ae</computerName>
  <guid>{23eec6ea-d2a9-448c-94b1-03d14d960728}</guid>
</GTBClassification>
</file>

<file path=customXml/itemProps1.xml><?xml version="1.0" encoding="utf-8"?>
<ds:datastoreItem xmlns:ds="http://schemas.openxmlformats.org/officeDocument/2006/customXml" ds:itemID="{1D76CFFE-CA05-49A3-878C-F25B2795E2B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1685</Words>
  <Characters>8651</Characters>
  <Application>Microsoft Office Word</Application>
  <DocSecurity>0</DocSecurity>
  <Lines>183</Lines>
  <Paragraphs>59</Paragraphs>
  <ScaleCrop>false</ScaleCrop>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ClassificationData:&lt;Classification:Public&gt;</cp:keywords>
  <cp:lastModifiedBy>Salam Ghabeish</cp:lastModifiedBy>
  <cp:revision>17</cp:revision>
  <cp:lastPrinted>2023-11-02T07:53:00Z</cp:lastPrinted>
  <dcterms:created xsi:type="dcterms:W3CDTF">2023-04-25T11:42:00Z</dcterms:created>
  <dcterms:modified xsi:type="dcterms:W3CDTF">2023-11-02T07:53:00Z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Adobe InDesign 18.2 (Macintosh)</vt:lpwstr>
  </property>
  <property fmtid="{D5CDD505-2E9C-101B-9397-08002B2CF9AE}" pid="4" name="LastSaved">
    <vt:filetime>2023-04-25T00:00:00Z</vt:filetime>
  </property>
  <property fmtid="{D5CDD505-2E9C-101B-9397-08002B2CF9AE}" pid="5" name="Producer">
    <vt:lpwstr>Adobe PDF Library 17.0</vt:lpwstr>
  </property>
  <property fmtid="{D5CDD505-2E9C-101B-9397-08002B2CF9AE}" pid="6" name="GrammarlyDocumentId">
    <vt:lpwstr>6d8cad5e49907c5cfe4eaf84a76e9f4da9f3f478b9ae0cc4679a5e4e1c8a1f03</vt:lpwstr>
  </property>
  <property fmtid="{D5CDD505-2E9C-101B-9397-08002B2CF9AE}" pid="7" name="Classification">
    <vt:lpwstr>Public</vt:lpwstr>
  </property>
  <property fmtid="{D5CDD505-2E9C-101B-9397-08002B2CF9AE}" pid="8" name="ClassifiedBy">
    <vt:lpwstr>DGCX\SalamG</vt:lpwstr>
  </property>
  <property fmtid="{D5CDD505-2E9C-101B-9397-08002B2CF9AE}" pid="9" name="ClassificationHost">
    <vt:lpwstr>SALAMG.dgcx.ae</vt:lpwstr>
  </property>
  <property fmtid="{D5CDD505-2E9C-101B-9397-08002B2CF9AE}" pid="10" name="ClassificationDate">
    <vt:lpwstr>01/05/2023 16:44:06</vt:lpwstr>
  </property>
  <property fmtid="{D5CDD505-2E9C-101B-9397-08002B2CF9AE}" pid="11" name="ClassificationGUID">
    <vt:lpwstr>{23eec6ea-d2a9-448c-94b1-03d14d960728}</vt:lpwstr>
  </property>
</Properties>
</file>